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color w:val="auto"/>
        </w:rPr>
      </w:pPr>
    </w:p>
    <w:p>
      <w:pPr>
        <w:rPr>
          <w:color w:val="auto"/>
        </w:rPr>
      </w:pPr>
    </w:p>
    <w:p>
      <w:pPr>
        <w:ind w:left="3534" w:hanging="3533" w:hangingChars="800"/>
        <w:jc w:val="center"/>
        <w:rPr>
          <w:rFonts w:ascii="宋体" w:hAnsi="宋体" w:eastAsia="宋体" w:cs="Times New Roman"/>
          <w:b/>
          <w:color w:val="auto"/>
          <w:sz w:val="44"/>
          <w:szCs w:val="44"/>
        </w:rPr>
      </w:pPr>
      <w:r>
        <w:rPr>
          <w:rFonts w:hint="eastAsia" w:ascii="宋体" w:hAnsi="宋体" w:eastAsia="宋体" w:cs="Times New Roman"/>
          <w:b/>
          <w:color w:val="auto"/>
          <w:sz w:val="44"/>
          <w:szCs w:val="44"/>
        </w:rPr>
        <w:t>台州市行政中心3号楼智慧消防项目建设</w:t>
      </w:r>
    </w:p>
    <w:p>
      <w:pPr>
        <w:ind w:left="3534" w:hanging="3533" w:hangingChars="800"/>
        <w:jc w:val="center"/>
        <w:rPr>
          <w:rFonts w:ascii="宋体" w:hAnsi="宋体" w:eastAsia="宋体" w:cs="Times New Roman"/>
          <w:b/>
          <w:color w:val="auto"/>
          <w:sz w:val="44"/>
          <w:szCs w:val="44"/>
        </w:rPr>
      </w:pPr>
      <w:r>
        <w:rPr>
          <w:rFonts w:hint="eastAsia" w:ascii="宋体" w:hAnsi="宋体" w:eastAsia="宋体"/>
          <w:b/>
          <w:color w:val="auto"/>
          <w:sz w:val="44"/>
          <w:szCs w:val="44"/>
        </w:rPr>
        <w:t>竞争性谈判文件</w:t>
      </w:r>
    </w:p>
    <w:p>
      <w:pPr>
        <w:rPr>
          <w:rFonts w:ascii="宋体" w:hAnsi="宋体" w:eastAsia="宋体"/>
          <w:color w:val="auto"/>
        </w:rPr>
      </w:pPr>
      <w:bookmarkStart w:id="0" w:name="_Toc182848975"/>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spacing w:line="720" w:lineRule="auto"/>
        <w:jc w:val="center"/>
        <w:rPr>
          <w:rFonts w:ascii="宋体" w:hAnsi="宋体" w:eastAsia="宋体"/>
          <w:b/>
          <w:color w:val="auto"/>
          <w:sz w:val="36"/>
          <w:szCs w:val="36"/>
        </w:rPr>
      </w:pPr>
      <w:r>
        <w:rPr>
          <w:rFonts w:hint="eastAsia" w:ascii="宋体" w:hAnsi="宋体" w:eastAsia="宋体"/>
          <w:b/>
          <w:color w:val="auto"/>
          <w:sz w:val="36"/>
          <w:szCs w:val="36"/>
        </w:rPr>
        <w:t>采购人:</w:t>
      </w:r>
      <w:r>
        <w:rPr>
          <w:rFonts w:hint="eastAsia" w:ascii="宋体" w:hAnsi="宋体" w:eastAsia="宋体" w:cs="Times New Roman"/>
          <w:b/>
          <w:color w:val="auto"/>
          <w:kern w:val="0"/>
          <w:sz w:val="36"/>
          <w:szCs w:val="36"/>
        </w:rPr>
        <w:t xml:space="preserve"> </w:t>
      </w:r>
      <w:r>
        <w:rPr>
          <w:rFonts w:hint="eastAsia" w:ascii="宋体" w:hAnsi="宋体" w:eastAsia="宋体"/>
          <w:b/>
          <w:color w:val="auto"/>
          <w:sz w:val="36"/>
          <w:szCs w:val="36"/>
        </w:rPr>
        <w:t>台州市机关服务中心</w:t>
      </w:r>
    </w:p>
    <w:p>
      <w:pPr>
        <w:spacing w:line="720" w:lineRule="auto"/>
        <w:jc w:val="center"/>
        <w:rPr>
          <w:rFonts w:ascii="宋体" w:hAnsi="宋体" w:eastAsia="宋体"/>
          <w:b/>
          <w:color w:val="auto"/>
          <w:sz w:val="36"/>
          <w:szCs w:val="36"/>
        </w:rPr>
      </w:pPr>
      <w:r>
        <w:rPr>
          <w:rFonts w:hint="eastAsia" w:ascii="宋体" w:hAnsi="宋体" w:eastAsia="宋体"/>
          <w:b/>
          <w:color w:val="auto"/>
          <w:sz w:val="36"/>
          <w:szCs w:val="36"/>
        </w:rPr>
        <w:t>2021年1</w:t>
      </w:r>
      <w:r>
        <w:rPr>
          <w:rFonts w:hint="eastAsia" w:ascii="宋体" w:hAnsi="宋体" w:eastAsia="宋体"/>
          <w:b/>
          <w:color w:val="auto"/>
          <w:sz w:val="36"/>
          <w:szCs w:val="36"/>
          <w:lang w:val="en-US" w:eastAsia="zh-CN"/>
        </w:rPr>
        <w:t>1</w:t>
      </w:r>
      <w:r>
        <w:rPr>
          <w:rFonts w:hint="eastAsia" w:ascii="宋体" w:hAnsi="宋体" w:eastAsia="宋体"/>
          <w:b/>
          <w:color w:val="auto"/>
          <w:sz w:val="36"/>
          <w:szCs w:val="36"/>
        </w:rPr>
        <w:t>月</w:t>
      </w:r>
    </w:p>
    <w:p>
      <w:pPr>
        <w:widowControl/>
        <w:jc w:val="left"/>
        <w:rPr>
          <w:rFonts w:ascii="宋体" w:hAnsi="宋体"/>
          <w:b/>
          <w:color w:val="auto"/>
          <w:sz w:val="24"/>
          <w:szCs w:val="24"/>
        </w:rPr>
      </w:pPr>
      <w:r>
        <w:rPr>
          <w:rFonts w:ascii="宋体" w:hAnsi="宋体"/>
          <w:b/>
          <w:color w:val="auto"/>
          <w:sz w:val="24"/>
          <w:szCs w:val="24"/>
        </w:rPr>
        <w:br w:type="page"/>
      </w:r>
    </w:p>
    <w:p>
      <w:pPr>
        <w:spacing w:line="360" w:lineRule="auto"/>
        <w:jc w:val="center"/>
        <w:outlineLvl w:val="0"/>
        <w:rPr>
          <w:rFonts w:ascii="宋体" w:hAnsi="宋体"/>
          <w:b/>
          <w:color w:val="auto"/>
          <w:sz w:val="36"/>
          <w:szCs w:val="36"/>
        </w:rPr>
      </w:pPr>
      <w:r>
        <w:rPr>
          <w:rFonts w:hint="eastAsia" w:ascii="宋体" w:hAnsi="宋体"/>
          <w:b/>
          <w:color w:val="auto"/>
          <w:sz w:val="36"/>
          <w:szCs w:val="36"/>
        </w:rPr>
        <w:t>第一章 竞争性谈判公告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参照《中华人民共和国政府采购法》《政府采购货物与服务招标投标管理办法》《政府采购竞争性谈判采购方式管理暂行办法》等规定，现就台州市行政中心3号楼智慧消防项目进行竞争性谈判，欢迎具备本项目供应商的资质要求且能够及时提供相关服务的供应商参加投标。</w:t>
      </w:r>
    </w:p>
    <w:p>
      <w:pPr>
        <w:spacing w:line="360" w:lineRule="auto"/>
        <w:outlineLvl w:val="1"/>
        <w:rPr>
          <w:rFonts w:ascii="宋体" w:hAnsi="宋体"/>
          <w:b/>
          <w:color w:val="auto"/>
          <w:sz w:val="24"/>
          <w:szCs w:val="24"/>
        </w:rPr>
      </w:pPr>
      <w:r>
        <w:rPr>
          <w:rFonts w:hint="eastAsia" w:ascii="宋体" w:hAnsi="宋体"/>
          <w:b/>
          <w:color w:val="auto"/>
          <w:sz w:val="24"/>
          <w:szCs w:val="24"/>
        </w:rPr>
        <w:t>一、项目基本情况</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本次谈判采购共</w:t>
      </w:r>
      <w:r>
        <w:rPr>
          <w:rFonts w:hint="eastAsia" w:ascii="宋体" w:hAnsi="宋体"/>
          <w:color w:val="auto"/>
          <w:sz w:val="24"/>
          <w:szCs w:val="24"/>
          <w:u w:val="single"/>
        </w:rPr>
        <w:t>1个</w:t>
      </w:r>
      <w:r>
        <w:rPr>
          <w:rFonts w:hint="eastAsia" w:ascii="宋体" w:hAnsi="宋体"/>
          <w:color w:val="auto"/>
          <w:sz w:val="24"/>
          <w:szCs w:val="24"/>
        </w:rPr>
        <w:t>标项，具体内容如下表：</w:t>
      </w:r>
    </w:p>
    <w:tbl>
      <w:tblPr>
        <w:tblStyle w:val="5"/>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693"/>
        <w:gridCol w:w="851"/>
        <w:gridCol w:w="950"/>
        <w:gridCol w:w="1701"/>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标项</w:t>
            </w:r>
          </w:p>
        </w:tc>
        <w:tc>
          <w:tcPr>
            <w:tcW w:w="269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项目名称</w:t>
            </w:r>
          </w:p>
        </w:tc>
        <w:tc>
          <w:tcPr>
            <w:tcW w:w="851"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数量</w:t>
            </w:r>
          </w:p>
        </w:tc>
        <w:tc>
          <w:tcPr>
            <w:tcW w:w="950" w:type="dxa"/>
            <w:tcBorders>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单位</w:t>
            </w:r>
          </w:p>
        </w:tc>
        <w:tc>
          <w:tcPr>
            <w:tcW w:w="1701" w:type="dxa"/>
            <w:tcBorders>
              <w:lef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预算（万元）</w:t>
            </w:r>
          </w:p>
        </w:tc>
        <w:tc>
          <w:tcPr>
            <w:tcW w:w="174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采购单位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851"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2693" w:type="dxa"/>
            <w:tcBorders>
              <w:bottom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台州市行政中心3号楼智慧消防项目</w:t>
            </w:r>
          </w:p>
        </w:tc>
        <w:tc>
          <w:tcPr>
            <w:tcW w:w="851" w:type="dxa"/>
            <w:tcBorders>
              <w:bottom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950" w:type="dxa"/>
            <w:tcBorders>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项</w:t>
            </w:r>
          </w:p>
        </w:tc>
        <w:tc>
          <w:tcPr>
            <w:tcW w:w="1701" w:type="dxa"/>
            <w:tcBorders>
              <w:lef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9.0</w:t>
            </w:r>
          </w:p>
        </w:tc>
        <w:tc>
          <w:tcPr>
            <w:tcW w:w="174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台州市机关服务中心</w:t>
            </w:r>
          </w:p>
        </w:tc>
      </w:tr>
    </w:tbl>
    <w:p>
      <w:pPr>
        <w:spacing w:line="360" w:lineRule="auto"/>
        <w:outlineLvl w:val="1"/>
        <w:rPr>
          <w:rFonts w:ascii="宋体" w:hAnsi="宋体"/>
          <w:b/>
          <w:color w:val="auto"/>
          <w:sz w:val="24"/>
          <w:szCs w:val="24"/>
        </w:rPr>
      </w:pPr>
      <w:r>
        <w:rPr>
          <w:rFonts w:hint="eastAsia" w:ascii="宋体" w:hAnsi="宋体"/>
          <w:b/>
          <w:color w:val="auto"/>
          <w:sz w:val="24"/>
          <w:szCs w:val="24"/>
        </w:rPr>
        <w:t>二、合格谈判响应方的资格条件</w:t>
      </w:r>
    </w:p>
    <w:p>
      <w:pPr>
        <w:spacing w:line="360" w:lineRule="auto"/>
        <w:rPr>
          <w:rFonts w:ascii="宋体" w:hAnsi="宋体"/>
          <w:color w:val="auto"/>
          <w:sz w:val="24"/>
          <w:szCs w:val="24"/>
        </w:rPr>
      </w:pPr>
      <w:r>
        <w:rPr>
          <w:rFonts w:hint="eastAsia" w:ascii="宋体" w:hAnsi="宋体"/>
          <w:color w:val="auto"/>
          <w:sz w:val="24"/>
          <w:szCs w:val="24"/>
        </w:rPr>
        <w:t>1、符合《中华人民共和国政府采购法》第二十二条规定；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（一）</w:t>
      </w:r>
      <w:r>
        <w:rPr>
          <w:rFonts w:ascii="宋体" w:hAnsi="宋体"/>
          <w:color w:val="auto"/>
          <w:sz w:val="24"/>
          <w:szCs w:val="24"/>
        </w:rPr>
        <w:t>具有独立承担民事责任的能力；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（二）</w:t>
      </w:r>
      <w:r>
        <w:rPr>
          <w:rFonts w:ascii="宋体" w:hAnsi="宋体"/>
          <w:color w:val="auto"/>
          <w:sz w:val="24"/>
          <w:szCs w:val="24"/>
        </w:rPr>
        <w:t>具有良好的商业信誉和健全的财务会计制度；</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（三）</w:t>
      </w:r>
      <w:r>
        <w:rPr>
          <w:rFonts w:ascii="宋体" w:hAnsi="宋体"/>
          <w:color w:val="auto"/>
          <w:sz w:val="24"/>
          <w:szCs w:val="24"/>
        </w:rPr>
        <w:t>具有履行合同所必需的设备和专业技术能力；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（四）</w:t>
      </w:r>
      <w:r>
        <w:rPr>
          <w:rFonts w:ascii="宋体" w:hAnsi="宋体"/>
          <w:color w:val="auto"/>
          <w:sz w:val="24"/>
          <w:szCs w:val="24"/>
        </w:rPr>
        <w:t>有依法缴纳税收和社会保障资金的良好记录；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（五）</w:t>
      </w:r>
      <w:r>
        <w:rPr>
          <w:rFonts w:ascii="宋体" w:hAnsi="宋体"/>
          <w:color w:val="auto"/>
          <w:sz w:val="24"/>
          <w:szCs w:val="24"/>
        </w:rPr>
        <w:t>参加采购活动前三年内，在经营活动中没有重大违法记录；</w:t>
      </w:r>
    </w:p>
    <w:p>
      <w:pPr>
        <w:spacing w:line="360" w:lineRule="auto"/>
        <w:rPr>
          <w:rFonts w:ascii="宋体" w:hAnsi="宋体"/>
          <w:color w:val="auto"/>
          <w:sz w:val="24"/>
          <w:szCs w:val="24"/>
        </w:rPr>
      </w:pPr>
      <w:r>
        <w:rPr>
          <w:rFonts w:hint="eastAsia" w:ascii="宋体" w:hAnsi="宋体"/>
          <w:color w:val="auto"/>
          <w:sz w:val="24"/>
          <w:szCs w:val="24"/>
        </w:rPr>
        <w:t>2、未被“信用中国”（www.creditchina.gov.cn）、中国政府采购网（www.ccgp.gov.cn）列入失信被执行人、重大税收违法案件当事人名单、政府采购严重违法失信行为记录名单；</w:t>
      </w:r>
    </w:p>
    <w:p>
      <w:pPr>
        <w:rPr>
          <w:sz w:val="24"/>
          <w:szCs w:val="28"/>
        </w:rPr>
      </w:pPr>
      <w:r>
        <w:rPr>
          <w:rFonts w:hint="eastAsia"/>
          <w:sz w:val="24"/>
          <w:szCs w:val="28"/>
        </w:rPr>
        <w:t>3、根据《企业信息公示暂行条例》，谈判响应方不得被工商行政管理机关在全国企业信用信息公示系统中列入“经营异常名录”或者“严重违法失信企业名单”。</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4、本项目不接受联合体投标。</w:t>
      </w:r>
    </w:p>
    <w:p>
      <w:pPr>
        <w:rPr>
          <w:sz w:val="24"/>
          <w:szCs w:val="28"/>
        </w:rPr>
      </w:pPr>
      <w:r>
        <w:rPr>
          <w:rFonts w:hint="eastAsia"/>
        </w:rPr>
        <w:t>5</w:t>
      </w:r>
      <w:r>
        <w:rPr>
          <w:rFonts w:hint="eastAsia"/>
          <w:sz w:val="24"/>
          <w:szCs w:val="28"/>
        </w:rPr>
        <w:t>、本项目的特定资格要求：</w:t>
      </w:r>
    </w:p>
    <w:p>
      <w:pPr>
        <w:rPr>
          <w:sz w:val="24"/>
          <w:szCs w:val="28"/>
        </w:rPr>
      </w:pPr>
      <w:r>
        <w:rPr>
          <w:rFonts w:hint="eastAsia"/>
          <w:sz w:val="24"/>
          <w:szCs w:val="28"/>
        </w:rPr>
        <w:t>（1）企业具备消防设施工程专业承包二级及以上资质、电子与智能化工程专业承包贰级及以上。</w:t>
      </w:r>
    </w:p>
    <w:p>
      <w:pPr>
        <w:rPr>
          <w:sz w:val="24"/>
          <w:szCs w:val="28"/>
        </w:rPr>
      </w:pPr>
      <w:r>
        <w:rPr>
          <w:rFonts w:hint="eastAsia"/>
          <w:sz w:val="24"/>
          <w:szCs w:val="28"/>
        </w:rPr>
        <w:t>（2）营业执照经营范围须包含消防技术服务，并具备相应的人员与专业能力。</w:t>
      </w:r>
    </w:p>
    <w:p>
      <w:pPr>
        <w:rPr>
          <w:sz w:val="24"/>
          <w:szCs w:val="28"/>
        </w:rPr>
      </w:pPr>
      <w:r>
        <w:rPr>
          <w:rFonts w:hint="eastAsia"/>
          <w:sz w:val="24"/>
          <w:szCs w:val="28"/>
        </w:rPr>
        <w:t>（3）台州市范围内或</w:t>
      </w:r>
      <w:r>
        <w:rPr>
          <w:sz w:val="24"/>
          <w:szCs w:val="28"/>
        </w:rPr>
        <w:t>在台州市范围内有运营团队</w:t>
      </w:r>
      <w:r>
        <w:rPr>
          <w:rFonts w:hint="eastAsia"/>
          <w:sz w:val="24"/>
          <w:szCs w:val="28"/>
        </w:rPr>
        <w:t>（分公司、分支机构等），且</w:t>
      </w:r>
      <w:r>
        <w:rPr>
          <w:sz w:val="24"/>
          <w:szCs w:val="28"/>
        </w:rPr>
        <w:t>在台州当地具备监控中心</w:t>
      </w:r>
      <w:r>
        <w:rPr>
          <w:rFonts w:hint="eastAsia"/>
          <w:sz w:val="24"/>
          <w:szCs w:val="28"/>
        </w:rPr>
        <w:t>。</w:t>
      </w:r>
    </w:p>
    <w:p>
      <w:pPr>
        <w:spacing w:line="360" w:lineRule="auto"/>
        <w:outlineLvl w:val="1"/>
        <w:rPr>
          <w:rFonts w:ascii="宋体" w:hAnsi="宋体"/>
          <w:b/>
          <w:color w:val="auto"/>
          <w:sz w:val="24"/>
          <w:szCs w:val="24"/>
        </w:rPr>
      </w:pPr>
      <w:r>
        <w:rPr>
          <w:rFonts w:ascii="宋体" w:hAnsi="宋体"/>
          <w:b/>
          <w:color w:val="auto"/>
          <w:sz w:val="24"/>
          <w:szCs w:val="24"/>
        </w:rPr>
        <w:t>三、</w:t>
      </w:r>
      <w:r>
        <w:rPr>
          <w:rFonts w:hint="eastAsia" w:ascii="宋体" w:hAnsi="宋体"/>
          <w:b/>
          <w:color w:val="auto"/>
          <w:sz w:val="24"/>
          <w:szCs w:val="24"/>
        </w:rPr>
        <w:t>谈判文件获取的方式、时间</w:t>
      </w:r>
    </w:p>
    <w:p>
      <w:pPr>
        <w:spacing w:line="360" w:lineRule="auto"/>
        <w:rPr>
          <w:rFonts w:hint="eastAsia" w:ascii="宋体" w:hAnsi="宋体" w:eastAsiaTheme="minorEastAsia"/>
          <w:color w:val="auto"/>
          <w:sz w:val="24"/>
          <w:szCs w:val="24"/>
          <w:lang w:eastAsia="zh-CN"/>
        </w:rPr>
      </w:pPr>
      <w:r>
        <w:rPr>
          <w:rFonts w:ascii="宋体" w:hAnsi="宋体"/>
          <w:color w:val="auto"/>
          <w:sz w:val="24"/>
          <w:szCs w:val="24"/>
        </w:rPr>
        <w:t>1、获取方式：</w:t>
      </w:r>
      <w:r>
        <w:rPr>
          <w:rFonts w:hint="eastAsia" w:ascii="宋体" w:hAnsi="宋体"/>
          <w:color w:val="auto"/>
          <w:sz w:val="24"/>
          <w:szCs w:val="24"/>
          <w:lang w:eastAsia="zh-CN"/>
        </w:rPr>
        <w:t>当面领取电子文档。</w:t>
      </w:r>
    </w:p>
    <w:p>
      <w:pPr>
        <w:spacing w:line="360" w:lineRule="auto"/>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获取</w:t>
      </w:r>
      <w:r>
        <w:rPr>
          <w:rFonts w:ascii="宋体" w:hAnsi="宋体"/>
          <w:color w:val="auto"/>
          <w:sz w:val="24"/>
          <w:szCs w:val="24"/>
        </w:rPr>
        <w:t>时间：</w:t>
      </w:r>
      <w:r>
        <w:rPr>
          <w:rFonts w:hint="eastAsia" w:ascii="宋体" w:hAnsi="宋体"/>
          <w:color w:val="auto"/>
          <w:sz w:val="24"/>
          <w:szCs w:val="24"/>
        </w:rPr>
        <w:t>公告发布之日</w:t>
      </w:r>
      <w:r>
        <w:rPr>
          <w:rFonts w:hint="eastAsia" w:ascii="宋体" w:hAnsi="宋体" w:eastAsia="宋体"/>
          <w:color w:val="auto"/>
          <w:sz w:val="24"/>
          <w:szCs w:val="24"/>
          <w:lang w:eastAsia="zh-CN"/>
        </w:rPr>
        <w:t>（</w:t>
      </w:r>
      <w:r>
        <w:rPr>
          <w:rFonts w:hint="eastAsia" w:ascii="宋体" w:hAnsi="宋体"/>
          <w:color w:val="auto"/>
          <w:sz w:val="24"/>
          <w:szCs w:val="24"/>
          <w:lang w:val="en-US" w:eastAsia="zh-CN"/>
        </w:rPr>
        <w:t>11月18日</w:t>
      </w:r>
      <w:r>
        <w:rPr>
          <w:rFonts w:hint="eastAsia" w:ascii="宋体" w:hAnsi="宋体" w:eastAsia="宋体"/>
          <w:color w:val="auto"/>
          <w:sz w:val="24"/>
          <w:szCs w:val="24"/>
          <w:lang w:eastAsia="zh-CN"/>
        </w:rPr>
        <w:t>）</w:t>
      </w:r>
      <w:r>
        <w:rPr>
          <w:rFonts w:hint="eastAsia" w:ascii="宋体" w:hAnsi="宋体"/>
          <w:color w:val="auto"/>
          <w:sz w:val="24"/>
          <w:szCs w:val="24"/>
        </w:rPr>
        <w:t>起至提交谈判响应文件截止时间</w:t>
      </w:r>
      <w:r>
        <w:rPr>
          <w:rFonts w:hint="eastAsia" w:ascii="宋体" w:hAnsi="宋体" w:eastAsia="宋体"/>
          <w:color w:val="auto"/>
          <w:sz w:val="24"/>
          <w:szCs w:val="24"/>
          <w:lang w:eastAsia="zh-CN"/>
        </w:rPr>
        <w:t>（１１月２６日）</w:t>
      </w:r>
      <w:r>
        <w:rPr>
          <w:rFonts w:hint="eastAsia" w:ascii="宋体" w:hAnsi="宋体"/>
          <w:color w:val="auto"/>
          <w:sz w:val="24"/>
          <w:szCs w:val="24"/>
        </w:rPr>
        <w:t>前，</w:t>
      </w:r>
      <w:r>
        <w:rPr>
          <w:rFonts w:hint="eastAsia" w:ascii="宋体" w:hAnsi="宋体"/>
          <w:color w:val="auto"/>
          <w:sz w:val="24"/>
          <w:szCs w:val="24"/>
          <w:lang w:val="en-US" w:eastAsia="zh-CN"/>
        </w:rPr>
        <w:t>上</w:t>
      </w:r>
      <w:r>
        <w:rPr>
          <w:rFonts w:ascii="宋体" w:hAnsi="宋体"/>
          <w:color w:val="auto"/>
          <w:sz w:val="24"/>
          <w:szCs w:val="24"/>
        </w:rPr>
        <w:t>午8：30-1</w:t>
      </w:r>
      <w:r>
        <w:rPr>
          <w:rFonts w:hint="eastAsia" w:ascii="宋体" w:hAnsi="宋体"/>
          <w:color w:val="auto"/>
          <w:sz w:val="24"/>
          <w:szCs w:val="24"/>
          <w:lang w:val="en-US" w:eastAsia="zh-CN"/>
        </w:rPr>
        <w:t>2</w:t>
      </w:r>
      <w:r>
        <w:rPr>
          <w:rFonts w:ascii="宋体" w:hAnsi="宋体"/>
          <w:color w:val="auto"/>
          <w:sz w:val="24"/>
          <w:szCs w:val="24"/>
        </w:rPr>
        <w:t>：30、下午14：00-17：00</w:t>
      </w:r>
      <w:r>
        <w:rPr>
          <w:rFonts w:hint="eastAsia" w:ascii="宋体" w:hAnsi="宋体"/>
          <w:color w:val="auto"/>
          <w:sz w:val="24"/>
          <w:szCs w:val="24"/>
        </w:rPr>
        <w:t>（北京时间，双休日除外）。</w:t>
      </w:r>
    </w:p>
    <w:p>
      <w:pPr>
        <w:spacing w:line="360" w:lineRule="auto"/>
        <w:rPr>
          <w:rFonts w:hint="default" w:ascii="宋体" w:hAnsi="宋体" w:eastAsiaTheme="minorEastAsia"/>
          <w:color w:val="auto"/>
          <w:sz w:val="24"/>
          <w:szCs w:val="24"/>
          <w:lang w:val="en-US" w:eastAsia="zh-CN"/>
        </w:rPr>
      </w:pPr>
      <w:r>
        <w:rPr>
          <w:rFonts w:hint="eastAsia" w:ascii="宋体" w:hAnsi="宋体"/>
          <w:color w:val="auto"/>
          <w:sz w:val="24"/>
          <w:szCs w:val="24"/>
        </w:rPr>
        <w:t>3</w:t>
      </w:r>
      <w:r>
        <w:rPr>
          <w:rFonts w:ascii="宋体" w:hAnsi="宋体"/>
          <w:color w:val="auto"/>
          <w:sz w:val="24"/>
          <w:szCs w:val="24"/>
        </w:rPr>
        <w:t xml:space="preserve">、获取地址： </w:t>
      </w:r>
      <w:r>
        <w:rPr>
          <w:rFonts w:hint="eastAsia" w:ascii="宋体" w:hAnsi="宋体"/>
          <w:color w:val="auto"/>
          <w:sz w:val="24"/>
          <w:szCs w:val="24"/>
          <w:lang w:eastAsia="zh-CN"/>
        </w:rPr>
        <w:t>台州市行政大楼三楼</w:t>
      </w:r>
      <w:r>
        <w:rPr>
          <w:rFonts w:hint="eastAsia" w:ascii="宋体" w:hAnsi="宋体"/>
          <w:color w:val="auto"/>
          <w:sz w:val="24"/>
          <w:szCs w:val="24"/>
          <w:lang w:val="en-US" w:eastAsia="zh-CN"/>
        </w:rPr>
        <w:t>322</w:t>
      </w:r>
    </w:p>
    <w:p>
      <w:pPr>
        <w:spacing w:line="360" w:lineRule="auto"/>
        <w:rPr>
          <w:rFonts w:ascii="宋体" w:hAnsi="宋体"/>
          <w:color w:val="auto"/>
          <w:sz w:val="24"/>
          <w:szCs w:val="24"/>
        </w:rPr>
      </w:pPr>
      <w:r>
        <w:rPr>
          <w:rFonts w:hint="eastAsia" w:ascii="宋体" w:hAnsi="宋体"/>
          <w:color w:val="auto"/>
          <w:sz w:val="24"/>
          <w:szCs w:val="24"/>
        </w:rPr>
        <w:t>4、售价（元）：0</w:t>
      </w:r>
    </w:p>
    <w:p>
      <w:pPr>
        <w:spacing w:line="360" w:lineRule="auto"/>
        <w:outlineLvl w:val="1"/>
        <w:rPr>
          <w:rFonts w:ascii="宋体" w:hAnsi="宋体"/>
          <w:b/>
          <w:color w:val="auto"/>
          <w:sz w:val="24"/>
          <w:szCs w:val="24"/>
        </w:rPr>
      </w:pPr>
      <w:r>
        <w:rPr>
          <w:rFonts w:hint="eastAsia" w:ascii="宋体" w:hAnsi="宋体"/>
          <w:b/>
          <w:color w:val="auto"/>
          <w:sz w:val="24"/>
          <w:szCs w:val="24"/>
        </w:rPr>
        <w:t>四、供应商报名时应提供以下资料：</w:t>
      </w:r>
    </w:p>
    <w:p>
      <w:pPr>
        <w:spacing w:line="360" w:lineRule="auto"/>
        <w:rPr>
          <w:rFonts w:hint="eastAsia" w:ascii="宋体" w:hAnsi="宋体" w:eastAsia="宋体"/>
          <w:color w:val="auto"/>
          <w:sz w:val="24"/>
          <w:szCs w:val="24"/>
          <w:lang w:eastAsia="zh-CN"/>
        </w:rPr>
      </w:pPr>
      <w:r>
        <w:rPr>
          <w:rFonts w:ascii="宋体" w:hAnsi="宋体"/>
          <w:color w:val="auto"/>
          <w:sz w:val="24"/>
          <w:szCs w:val="24"/>
        </w:rPr>
        <w:t>1、供应商报名表（签字盖章）</w:t>
      </w:r>
      <w:r>
        <w:rPr>
          <w:rFonts w:hint="eastAsia" w:ascii="宋体" w:hAnsi="宋体" w:eastAsia="宋体"/>
          <w:color w:val="auto"/>
          <w:sz w:val="24"/>
          <w:szCs w:val="24"/>
          <w:lang w:eastAsia="zh-CN"/>
        </w:rPr>
        <w:t>。</w:t>
      </w:r>
    </w:p>
    <w:p>
      <w:pPr>
        <w:spacing w:line="360" w:lineRule="auto"/>
        <w:rPr>
          <w:rFonts w:hint="eastAsia" w:ascii="宋体" w:hAnsi="宋体" w:eastAsia="宋体"/>
          <w:color w:val="auto"/>
          <w:sz w:val="24"/>
          <w:szCs w:val="24"/>
          <w:lang w:eastAsia="zh-CN"/>
        </w:rPr>
      </w:pPr>
      <w:r>
        <w:rPr>
          <w:rFonts w:ascii="宋体" w:hAnsi="宋体"/>
          <w:color w:val="auto"/>
          <w:sz w:val="24"/>
          <w:szCs w:val="24"/>
        </w:rPr>
        <w:t>2、企业法人营业执照副本复印件（需加盖单位公章）</w:t>
      </w:r>
      <w:r>
        <w:rPr>
          <w:rFonts w:hint="eastAsia" w:ascii="宋体" w:hAnsi="宋体" w:eastAsia="宋体"/>
          <w:color w:val="auto"/>
          <w:sz w:val="24"/>
          <w:szCs w:val="24"/>
          <w:lang w:eastAsia="zh-CN"/>
        </w:rPr>
        <w:t>。</w:t>
      </w:r>
    </w:p>
    <w:p>
      <w:pPr>
        <w:spacing w:line="360" w:lineRule="auto"/>
        <w:rPr>
          <w:rFonts w:hint="eastAsia" w:ascii="宋体" w:hAnsi="宋体" w:eastAsiaTheme="minorEastAsia"/>
          <w:color w:val="auto"/>
          <w:sz w:val="24"/>
          <w:szCs w:val="24"/>
          <w:lang w:eastAsia="zh-CN"/>
        </w:rPr>
      </w:pPr>
      <w:r>
        <w:rPr>
          <w:rFonts w:hint="eastAsia" w:ascii="宋体" w:hAnsi="宋体"/>
          <w:color w:val="auto"/>
          <w:sz w:val="24"/>
          <w:szCs w:val="24"/>
        </w:rPr>
        <w:t>3、资质证书复印件</w:t>
      </w:r>
      <w:r>
        <w:rPr>
          <w:rFonts w:ascii="宋体" w:hAnsi="宋体"/>
          <w:color w:val="auto"/>
          <w:sz w:val="24"/>
          <w:szCs w:val="24"/>
        </w:rPr>
        <w:t>（需加盖单位公章）</w:t>
      </w:r>
      <w:r>
        <w:rPr>
          <w:rFonts w:hint="eastAsia" w:ascii="宋体" w:hAnsi="宋体"/>
          <w:color w:val="auto"/>
          <w:sz w:val="24"/>
          <w:szCs w:val="24"/>
          <w:lang w:eastAsia="zh-CN"/>
        </w:rPr>
        <w:t>、委托授权书、受委托权人身份证原件及复印件。</w:t>
      </w:r>
    </w:p>
    <w:p>
      <w:pPr>
        <w:rPr>
          <w:sz w:val="24"/>
          <w:szCs w:val="28"/>
        </w:rPr>
      </w:pPr>
      <w:r>
        <w:rPr>
          <w:rFonts w:hint="eastAsia"/>
          <w:sz w:val="24"/>
          <w:szCs w:val="28"/>
        </w:rPr>
        <w:t>4、提供如下查询结果查询结果（应为网站自动生成的</w:t>
      </w:r>
      <w:r>
        <w:rPr>
          <w:sz w:val="24"/>
          <w:szCs w:val="28"/>
        </w:rPr>
        <w:t xml:space="preserve">PDF </w:t>
      </w:r>
      <w:r>
        <w:rPr>
          <w:rFonts w:hint="eastAsia"/>
          <w:sz w:val="24"/>
          <w:szCs w:val="28"/>
        </w:rPr>
        <w:t>文件）。</w:t>
      </w:r>
    </w:p>
    <w:p>
      <w:pPr>
        <w:rPr>
          <w:sz w:val="24"/>
          <w:szCs w:val="28"/>
        </w:rPr>
      </w:pPr>
      <w:r>
        <w:rPr>
          <w:rFonts w:hint="eastAsia"/>
          <w:sz w:val="24"/>
          <w:szCs w:val="28"/>
        </w:rPr>
        <w:t>①在国家企业信用信息公示系统（</w:t>
      </w:r>
      <w:r>
        <w:rPr>
          <w:sz w:val="24"/>
          <w:szCs w:val="28"/>
        </w:rPr>
        <w:t>www.gsxt.gov.cn</w:t>
      </w:r>
      <w:r>
        <w:rPr>
          <w:rFonts w:hint="eastAsia"/>
          <w:sz w:val="24"/>
          <w:szCs w:val="28"/>
        </w:rPr>
        <w:t>）查询的，包含“列入严重违法失信企业名单（黑名单）” “经营异常名录”的查询结果。</w:t>
      </w:r>
    </w:p>
    <w:p>
      <w:pPr>
        <w:rPr>
          <w:sz w:val="24"/>
          <w:szCs w:val="28"/>
        </w:rPr>
      </w:pPr>
      <w:r>
        <w:rPr>
          <w:rFonts w:hint="eastAsia"/>
          <w:sz w:val="24"/>
          <w:szCs w:val="28"/>
        </w:rPr>
        <w:t>②在“信用中国</w:t>
      </w:r>
      <w:r>
        <w:rPr>
          <w:sz w:val="24"/>
          <w:szCs w:val="28"/>
        </w:rPr>
        <w:t>”</w:t>
      </w:r>
      <w:r>
        <w:rPr>
          <w:rFonts w:hint="eastAsia"/>
          <w:sz w:val="24"/>
          <w:szCs w:val="28"/>
        </w:rPr>
        <w:t>网站（</w:t>
      </w:r>
      <w:r>
        <w:rPr>
          <w:sz w:val="24"/>
          <w:szCs w:val="28"/>
        </w:rPr>
        <w:t>www.creditchina.gov.cn</w:t>
      </w:r>
      <w:r>
        <w:rPr>
          <w:rFonts w:hint="eastAsia"/>
          <w:sz w:val="24"/>
          <w:szCs w:val="28"/>
        </w:rPr>
        <w:t>）查询的，包含列入“失信惩戒对象”的查询结果。</w:t>
      </w:r>
    </w:p>
    <w:p>
      <w:pPr>
        <w:rPr>
          <w:sz w:val="24"/>
          <w:szCs w:val="28"/>
        </w:rPr>
      </w:pPr>
      <w:r>
        <w:rPr>
          <w:rFonts w:hint="eastAsia"/>
          <w:sz w:val="24"/>
          <w:szCs w:val="28"/>
        </w:rPr>
        <w:t>③在中国政府采购网（www.ccgp.gov.cn）查询的，包含“列入政府采购严重违法失信行为记录名单”的查询结果。</w:t>
      </w:r>
    </w:p>
    <w:p>
      <w:pPr>
        <w:spacing w:line="360" w:lineRule="auto"/>
        <w:outlineLvl w:val="1"/>
        <w:rPr>
          <w:rFonts w:ascii="宋体" w:hAnsi="宋体"/>
          <w:b/>
          <w:color w:val="auto"/>
          <w:sz w:val="24"/>
          <w:szCs w:val="24"/>
        </w:rPr>
      </w:pPr>
      <w:r>
        <w:rPr>
          <w:rFonts w:hint="eastAsia" w:ascii="宋体" w:hAnsi="宋体"/>
          <w:b/>
          <w:color w:val="auto"/>
          <w:sz w:val="24"/>
          <w:szCs w:val="24"/>
        </w:rPr>
        <w:t>五、响应文件递交截止时间及谈判开始时间、地点</w:t>
      </w:r>
    </w:p>
    <w:p>
      <w:pPr>
        <w:spacing w:line="360" w:lineRule="auto"/>
        <w:rPr>
          <w:sz w:val="24"/>
          <w:szCs w:val="28"/>
        </w:rPr>
      </w:pPr>
      <w:r>
        <w:rPr>
          <w:rFonts w:hint="eastAsia" w:ascii="宋体" w:hAnsi="宋体"/>
          <w:color w:val="auto"/>
          <w:sz w:val="24"/>
          <w:szCs w:val="24"/>
        </w:rPr>
        <w:t>　　　</w:t>
      </w:r>
      <w:r>
        <w:rPr>
          <w:sz w:val="24"/>
          <w:szCs w:val="28"/>
        </w:rPr>
        <w:t>本次</w:t>
      </w:r>
      <w:r>
        <w:rPr>
          <w:rFonts w:hint="eastAsia"/>
          <w:sz w:val="24"/>
          <w:szCs w:val="28"/>
        </w:rPr>
        <w:t>谈判</w:t>
      </w:r>
      <w:r>
        <w:rPr>
          <w:sz w:val="24"/>
          <w:szCs w:val="28"/>
        </w:rPr>
        <w:t>将于</w:t>
      </w:r>
      <w:r>
        <w:rPr>
          <w:rFonts w:hint="eastAsia"/>
          <w:sz w:val="24"/>
          <w:szCs w:val="28"/>
        </w:rPr>
        <w:t xml:space="preserve"> </w:t>
      </w:r>
      <w:r>
        <w:rPr>
          <w:rFonts w:hint="eastAsia"/>
          <w:sz w:val="24"/>
          <w:szCs w:val="28"/>
          <w:lang w:val="en-US" w:eastAsia="zh-CN"/>
        </w:rPr>
        <w:t>2021</w:t>
      </w:r>
      <w:r>
        <w:rPr>
          <w:rFonts w:hint="eastAsia"/>
          <w:sz w:val="24"/>
          <w:szCs w:val="28"/>
        </w:rPr>
        <w:t xml:space="preserve"> </w:t>
      </w:r>
      <w:r>
        <w:rPr>
          <w:sz w:val="24"/>
          <w:szCs w:val="28"/>
        </w:rPr>
        <w:t>年</w:t>
      </w:r>
      <w:r>
        <w:rPr>
          <w:rFonts w:hint="default"/>
          <w:sz w:val="24"/>
          <w:szCs w:val="28"/>
          <w:lang w:val="en"/>
        </w:rPr>
        <w:t>11</w:t>
      </w:r>
      <w:r>
        <w:rPr>
          <w:sz w:val="24"/>
          <w:szCs w:val="28"/>
        </w:rPr>
        <w:t>月</w:t>
      </w:r>
      <w:r>
        <w:rPr>
          <w:rFonts w:hint="default"/>
          <w:sz w:val="24"/>
          <w:szCs w:val="28"/>
          <w:lang w:val="en"/>
        </w:rPr>
        <w:t>26</w:t>
      </w:r>
      <w:r>
        <w:rPr>
          <w:rFonts w:hint="eastAsia" w:eastAsia="宋体"/>
          <w:sz w:val="24"/>
          <w:szCs w:val="28"/>
          <w:lang w:val="en" w:eastAsia="zh-CN"/>
        </w:rPr>
        <w:t>日</w:t>
      </w:r>
      <w:r>
        <w:rPr>
          <w:rFonts w:hint="eastAsia" w:eastAsia="宋体"/>
          <w:b/>
          <w:bCs/>
          <w:sz w:val="24"/>
          <w:szCs w:val="28"/>
          <w:lang w:val="en" w:eastAsia="zh-CN"/>
        </w:rPr>
        <w:t>９</w:t>
      </w:r>
      <w:r>
        <w:rPr>
          <w:sz w:val="24"/>
          <w:szCs w:val="28"/>
        </w:rPr>
        <w:t>时</w:t>
      </w:r>
      <w:r>
        <w:rPr>
          <w:rFonts w:hint="default"/>
          <w:sz w:val="24"/>
          <w:szCs w:val="28"/>
          <w:lang w:val="en" w:eastAsia="zh-CN"/>
        </w:rPr>
        <w:t>30</w:t>
      </w:r>
      <w:r>
        <w:rPr>
          <w:sz w:val="24"/>
          <w:szCs w:val="28"/>
        </w:rPr>
        <w:t>分在</w:t>
      </w:r>
      <w:r>
        <w:rPr>
          <w:rFonts w:hint="eastAsia"/>
          <w:sz w:val="24"/>
          <w:szCs w:val="28"/>
          <w:lang w:eastAsia="zh-CN"/>
        </w:rPr>
        <w:t>市行政大楼三楼</w:t>
      </w:r>
      <w:r>
        <w:rPr>
          <w:rFonts w:hint="eastAsia"/>
          <w:sz w:val="24"/>
          <w:szCs w:val="28"/>
          <w:lang w:val="en-US" w:eastAsia="zh-CN"/>
        </w:rPr>
        <w:t>326室</w:t>
      </w:r>
      <w:r>
        <w:rPr>
          <w:sz w:val="24"/>
          <w:szCs w:val="28"/>
        </w:rPr>
        <w:t>开始进行，请在</w:t>
      </w:r>
      <w:r>
        <w:rPr>
          <w:rFonts w:hint="eastAsia"/>
          <w:sz w:val="24"/>
          <w:szCs w:val="28"/>
        </w:rPr>
        <w:t>谈判</w:t>
      </w:r>
      <w:r>
        <w:rPr>
          <w:sz w:val="24"/>
          <w:szCs w:val="28"/>
        </w:rPr>
        <w:t>当日</w:t>
      </w:r>
      <w:r>
        <w:rPr>
          <w:rFonts w:hint="eastAsia"/>
          <w:sz w:val="24"/>
          <w:szCs w:val="28"/>
        </w:rPr>
        <w:t xml:space="preserve"> </w:t>
      </w:r>
      <w:r>
        <w:rPr>
          <w:rFonts w:hint="eastAsia"/>
          <w:sz w:val="24"/>
          <w:szCs w:val="28"/>
          <w:lang w:val="en-US" w:eastAsia="zh-CN"/>
        </w:rPr>
        <w:t>9</w:t>
      </w:r>
      <w:r>
        <w:rPr>
          <w:rFonts w:hint="eastAsia"/>
          <w:sz w:val="24"/>
          <w:szCs w:val="28"/>
        </w:rPr>
        <w:t xml:space="preserve"> 时前，</w:t>
      </w:r>
      <w:r>
        <w:rPr>
          <w:sz w:val="24"/>
          <w:szCs w:val="28"/>
        </w:rPr>
        <w:t>将</w:t>
      </w:r>
      <w:r>
        <w:rPr>
          <w:rFonts w:hint="eastAsia"/>
          <w:sz w:val="24"/>
          <w:szCs w:val="28"/>
        </w:rPr>
        <w:t>谈判</w:t>
      </w:r>
      <w:r>
        <w:rPr>
          <w:sz w:val="24"/>
          <w:szCs w:val="28"/>
        </w:rPr>
        <w:t>响应文件送达</w:t>
      </w:r>
      <w:r>
        <w:rPr>
          <w:rFonts w:hint="eastAsia"/>
          <w:sz w:val="24"/>
          <w:szCs w:val="28"/>
        </w:rPr>
        <w:t>谈判</w:t>
      </w:r>
      <w:r>
        <w:rPr>
          <w:sz w:val="24"/>
          <w:szCs w:val="28"/>
        </w:rPr>
        <w:t>地点，逾期或不符合规定的响应文件恕不接受。</w:t>
      </w:r>
    </w:p>
    <w:p>
      <w:pPr>
        <w:spacing w:line="360" w:lineRule="auto"/>
        <w:outlineLvl w:val="1"/>
        <w:rPr>
          <w:rFonts w:ascii="宋体" w:hAnsi="宋体"/>
          <w:b/>
          <w:color w:val="auto"/>
          <w:sz w:val="24"/>
          <w:szCs w:val="24"/>
        </w:rPr>
      </w:pPr>
      <w:r>
        <w:rPr>
          <w:rFonts w:hint="eastAsia" w:ascii="宋体" w:hAnsi="宋体"/>
          <w:b/>
          <w:color w:val="auto"/>
          <w:sz w:val="24"/>
          <w:szCs w:val="24"/>
        </w:rPr>
        <w:t>六、相关注意事项</w:t>
      </w:r>
    </w:p>
    <w:p>
      <w:pPr>
        <w:spacing w:line="360" w:lineRule="auto"/>
        <w:rPr>
          <w:rFonts w:ascii="宋体" w:hAnsi="宋体"/>
          <w:color w:val="auto"/>
          <w:sz w:val="24"/>
          <w:szCs w:val="24"/>
        </w:rPr>
      </w:pPr>
      <w:r>
        <w:rPr>
          <w:rFonts w:hint="eastAsia" w:ascii="宋体" w:hAnsi="宋体"/>
          <w:color w:val="auto"/>
          <w:sz w:val="24"/>
          <w:szCs w:val="24"/>
          <w:lang w:eastAsia="zh-CN"/>
        </w:rPr>
        <w:t>　　</w:t>
      </w:r>
      <w:r>
        <w:rPr>
          <w:rFonts w:ascii="宋体" w:hAnsi="宋体"/>
          <w:color w:val="auto"/>
          <w:sz w:val="24"/>
          <w:szCs w:val="24"/>
        </w:rPr>
        <w:t>1、供应商认为采购文件使自己的权益受到损害的，可以自收到采购文件之日（获取/发售截止日之后收到采购文件的，以获取/发售截止日为准）起7个工作日内且应当在采购响应截止时间之前，以书面形式一次性向采购人提出同一环节的质疑。否则，被质疑人可不予接受。质疑供应商对采购人的答复不满意或者采购人未在规定的时间内</w:t>
      </w:r>
      <w:r>
        <w:rPr>
          <w:rFonts w:hint="eastAsia" w:ascii="宋体" w:hAnsi="宋体"/>
          <w:color w:val="auto"/>
          <w:sz w:val="24"/>
          <w:szCs w:val="24"/>
          <w:lang w:eastAsia="zh-CN"/>
        </w:rPr>
        <w:t>做</w:t>
      </w:r>
      <w:r>
        <w:rPr>
          <w:rFonts w:ascii="宋体" w:hAnsi="宋体"/>
          <w:color w:val="auto"/>
          <w:sz w:val="24"/>
          <w:szCs w:val="24"/>
        </w:rPr>
        <w:t>出答复的，可以在答复期满后十五个工作日内向采购单位监督管理部门投诉。</w:t>
      </w:r>
    </w:p>
    <w:p>
      <w:pPr>
        <w:spacing w:line="360" w:lineRule="auto"/>
        <w:rPr>
          <w:rFonts w:ascii="宋体" w:hAnsi="宋体"/>
          <w:color w:val="auto"/>
          <w:sz w:val="24"/>
          <w:szCs w:val="24"/>
        </w:rPr>
      </w:pPr>
      <w:r>
        <w:rPr>
          <w:rFonts w:hint="eastAsia" w:ascii="宋体" w:hAnsi="宋体"/>
          <w:color w:val="auto"/>
          <w:sz w:val="24"/>
          <w:szCs w:val="24"/>
        </w:rPr>
        <w:t>2、本项目不需要缴纳谈判保证金。</w:t>
      </w:r>
    </w:p>
    <w:p>
      <w:pPr>
        <w:spacing w:line="360" w:lineRule="auto"/>
        <w:rPr>
          <w:rFonts w:hint="eastAsia" w:ascii="宋体" w:hAnsi="宋体" w:eastAsiaTheme="minorEastAsia"/>
          <w:color w:val="auto"/>
          <w:sz w:val="24"/>
          <w:szCs w:val="24"/>
          <w:lang w:eastAsia="zh-CN"/>
        </w:rPr>
      </w:pPr>
      <w:r>
        <w:rPr>
          <w:rFonts w:hint="eastAsia" w:ascii="宋体" w:hAnsi="宋体"/>
          <w:color w:val="auto"/>
          <w:sz w:val="24"/>
          <w:szCs w:val="24"/>
        </w:rPr>
        <w:t>3、</w:t>
      </w:r>
      <w:r>
        <w:rPr>
          <w:rFonts w:ascii="宋体" w:hAnsi="宋体"/>
          <w:color w:val="auto"/>
          <w:sz w:val="24"/>
          <w:szCs w:val="24"/>
        </w:rPr>
        <w:t>本项目所有公告发布网站：</w:t>
      </w:r>
      <w:r>
        <w:rPr>
          <w:rFonts w:hint="eastAsia" w:ascii="宋体" w:hAnsi="宋体"/>
          <w:color w:val="auto"/>
          <w:sz w:val="24"/>
          <w:szCs w:val="24"/>
          <w:lang w:eastAsia="zh-CN"/>
        </w:rPr>
        <w:t>台州后勤网，http://jgswglj.zjtz.gov.cn/</w:t>
      </w:r>
    </w:p>
    <w:p>
      <w:pPr>
        <w:spacing w:line="360" w:lineRule="auto"/>
        <w:outlineLvl w:val="1"/>
        <w:rPr>
          <w:rFonts w:ascii="宋体" w:hAnsi="宋体"/>
          <w:b/>
          <w:color w:val="auto"/>
          <w:sz w:val="24"/>
          <w:szCs w:val="24"/>
        </w:rPr>
      </w:pPr>
      <w:r>
        <w:rPr>
          <w:rFonts w:hint="eastAsia" w:ascii="宋体" w:hAnsi="宋体"/>
          <w:b/>
          <w:color w:val="auto"/>
          <w:sz w:val="24"/>
          <w:szCs w:val="24"/>
        </w:rPr>
        <w:t>七、联系方式</w:t>
      </w:r>
    </w:p>
    <w:p>
      <w:pPr>
        <w:spacing w:line="360" w:lineRule="auto"/>
        <w:rPr>
          <w:rFonts w:ascii="宋体" w:hAnsi="宋体"/>
          <w:color w:val="auto"/>
          <w:sz w:val="24"/>
          <w:szCs w:val="24"/>
        </w:rPr>
      </w:pPr>
      <w:r>
        <w:rPr>
          <w:rFonts w:hint="eastAsia" w:ascii="宋体" w:hAnsi="宋体"/>
          <w:color w:val="auto"/>
          <w:sz w:val="24"/>
          <w:szCs w:val="24"/>
        </w:rPr>
        <w:t>采购人名称：台州市机关服务中心</w:t>
      </w:r>
    </w:p>
    <w:p>
      <w:pPr>
        <w:spacing w:line="360" w:lineRule="auto"/>
        <w:rPr>
          <w:rFonts w:hint="default" w:ascii="宋体" w:hAnsi="宋体" w:eastAsiaTheme="minorEastAsia"/>
          <w:color w:val="auto"/>
          <w:sz w:val="24"/>
          <w:szCs w:val="24"/>
          <w:lang w:val="en-US" w:eastAsia="zh-CN"/>
        </w:rPr>
      </w:pPr>
      <w:r>
        <w:rPr>
          <w:rFonts w:hint="eastAsia" w:ascii="宋体" w:hAnsi="宋体"/>
          <w:color w:val="auto"/>
          <w:sz w:val="24"/>
          <w:szCs w:val="24"/>
        </w:rPr>
        <w:t>采购人地址：</w:t>
      </w:r>
      <w:r>
        <w:rPr>
          <w:rFonts w:ascii="宋体" w:hAnsi="宋体"/>
          <w:color w:val="auto"/>
          <w:sz w:val="24"/>
          <w:szCs w:val="24"/>
        </w:rPr>
        <w:t xml:space="preserve"> </w:t>
      </w:r>
      <w:r>
        <w:rPr>
          <w:rFonts w:hint="eastAsia" w:ascii="宋体" w:hAnsi="宋体"/>
          <w:color w:val="auto"/>
          <w:sz w:val="24"/>
          <w:szCs w:val="24"/>
          <w:lang w:eastAsia="zh-CN"/>
        </w:rPr>
        <w:t>台州市行政大楼三楼</w:t>
      </w:r>
      <w:r>
        <w:rPr>
          <w:rFonts w:hint="eastAsia" w:ascii="宋体" w:hAnsi="宋体"/>
          <w:color w:val="auto"/>
          <w:sz w:val="24"/>
          <w:szCs w:val="24"/>
          <w:lang w:val="en-US" w:eastAsia="zh-CN"/>
        </w:rPr>
        <w:t>322</w:t>
      </w:r>
    </w:p>
    <w:p>
      <w:pPr>
        <w:spacing w:line="360" w:lineRule="auto"/>
        <w:rPr>
          <w:rFonts w:ascii="宋体" w:hAnsi="宋体"/>
          <w:color w:val="auto"/>
          <w:sz w:val="24"/>
          <w:szCs w:val="24"/>
        </w:rPr>
      </w:pPr>
      <w:r>
        <w:rPr>
          <w:rFonts w:hint="eastAsia" w:ascii="宋体" w:hAnsi="宋体"/>
          <w:color w:val="auto"/>
          <w:sz w:val="24"/>
          <w:szCs w:val="24"/>
        </w:rPr>
        <w:t xml:space="preserve">联系人： 郑尚将    </w:t>
      </w:r>
    </w:p>
    <w:p>
      <w:pPr>
        <w:spacing w:line="360" w:lineRule="auto"/>
        <w:rPr>
          <w:rFonts w:ascii="宋体" w:hAnsi="宋体"/>
          <w:color w:val="auto"/>
          <w:sz w:val="24"/>
          <w:szCs w:val="24"/>
        </w:rPr>
      </w:pPr>
      <w:r>
        <w:rPr>
          <w:rFonts w:hint="eastAsia" w:ascii="宋体" w:hAnsi="宋体"/>
          <w:color w:val="auto"/>
          <w:sz w:val="24"/>
          <w:szCs w:val="24"/>
        </w:rPr>
        <w:t>联系电话：13957692858</w:t>
      </w:r>
    </w:p>
    <w:p>
      <w:pPr>
        <w:widowControl/>
        <w:jc w:val="left"/>
        <w:rPr>
          <w:rFonts w:ascii="宋体" w:hAnsi="宋体"/>
          <w:color w:val="auto"/>
          <w:sz w:val="24"/>
          <w:szCs w:val="24"/>
        </w:rPr>
      </w:pPr>
      <w:r>
        <w:rPr>
          <w:rFonts w:ascii="宋体" w:hAnsi="宋体"/>
          <w:color w:val="auto"/>
          <w:sz w:val="24"/>
          <w:szCs w:val="24"/>
        </w:rPr>
        <w:br w:type="page"/>
      </w:r>
    </w:p>
    <w:p>
      <w:pPr>
        <w:spacing w:line="360" w:lineRule="auto"/>
        <w:jc w:val="center"/>
        <w:outlineLvl w:val="0"/>
        <w:rPr>
          <w:rFonts w:ascii="宋体" w:hAnsi="宋体"/>
          <w:b/>
          <w:color w:val="auto"/>
          <w:sz w:val="36"/>
          <w:szCs w:val="36"/>
        </w:rPr>
      </w:pPr>
      <w:r>
        <w:rPr>
          <w:rFonts w:hint="eastAsia" w:ascii="宋体" w:hAnsi="宋体"/>
          <w:b/>
          <w:color w:val="auto"/>
          <w:sz w:val="36"/>
          <w:szCs w:val="36"/>
        </w:rPr>
        <w:t>第二章　采购需求</w:t>
      </w:r>
    </w:p>
    <w:p>
      <w:pPr>
        <w:spacing w:line="360" w:lineRule="auto"/>
        <w:outlineLvl w:val="1"/>
        <w:rPr>
          <w:rFonts w:ascii="宋体" w:hAnsi="宋体"/>
          <w:b/>
          <w:color w:val="auto"/>
          <w:sz w:val="24"/>
          <w:szCs w:val="24"/>
        </w:rPr>
      </w:pPr>
      <w:bookmarkStart w:id="1" w:name="_Toc182848973"/>
      <w:r>
        <w:rPr>
          <w:rFonts w:hint="eastAsia" w:ascii="宋体" w:hAnsi="宋体"/>
          <w:b/>
          <w:color w:val="auto"/>
          <w:sz w:val="24"/>
          <w:szCs w:val="24"/>
        </w:rPr>
        <w:t>一、项目一览表</w:t>
      </w:r>
    </w:p>
    <w:p>
      <w:pPr>
        <w:spacing w:line="360" w:lineRule="auto"/>
        <w:rPr>
          <w:rFonts w:ascii="宋体" w:hAnsi="宋体"/>
          <w:color w:val="auto"/>
          <w:sz w:val="24"/>
          <w:szCs w:val="24"/>
        </w:rPr>
      </w:pPr>
      <w:r>
        <w:rPr>
          <w:rFonts w:hint="eastAsia" w:ascii="宋体" w:hAnsi="宋体"/>
          <w:color w:val="auto"/>
          <w:sz w:val="24"/>
          <w:szCs w:val="24"/>
        </w:rPr>
        <w:t xml:space="preserve"> 本次谈判采购共</w:t>
      </w:r>
      <w:r>
        <w:rPr>
          <w:rFonts w:hint="eastAsia" w:ascii="宋体" w:hAnsi="宋体"/>
          <w:color w:val="auto"/>
          <w:sz w:val="24"/>
          <w:szCs w:val="24"/>
          <w:u w:val="single"/>
        </w:rPr>
        <w:t>1个</w:t>
      </w:r>
      <w:r>
        <w:rPr>
          <w:rFonts w:hint="eastAsia" w:ascii="宋体" w:hAnsi="宋体"/>
          <w:color w:val="auto"/>
          <w:sz w:val="24"/>
          <w:szCs w:val="24"/>
        </w:rPr>
        <w:t>标项，具体内容如下表：</w:t>
      </w:r>
    </w:p>
    <w:tbl>
      <w:tblPr>
        <w:tblStyle w:val="5"/>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693"/>
        <w:gridCol w:w="851"/>
        <w:gridCol w:w="950"/>
        <w:gridCol w:w="1701"/>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标项</w:t>
            </w:r>
          </w:p>
        </w:tc>
        <w:tc>
          <w:tcPr>
            <w:tcW w:w="269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项目名称</w:t>
            </w:r>
          </w:p>
        </w:tc>
        <w:tc>
          <w:tcPr>
            <w:tcW w:w="851"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数量</w:t>
            </w:r>
          </w:p>
        </w:tc>
        <w:tc>
          <w:tcPr>
            <w:tcW w:w="950" w:type="dxa"/>
            <w:tcBorders>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单位</w:t>
            </w:r>
          </w:p>
        </w:tc>
        <w:tc>
          <w:tcPr>
            <w:tcW w:w="1701" w:type="dxa"/>
            <w:tcBorders>
              <w:lef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预算（万元）</w:t>
            </w:r>
          </w:p>
        </w:tc>
        <w:tc>
          <w:tcPr>
            <w:tcW w:w="174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采购单位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851"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2693" w:type="dxa"/>
            <w:tcBorders>
              <w:bottom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台州市行政中心3号楼智慧消防项目</w:t>
            </w:r>
          </w:p>
        </w:tc>
        <w:tc>
          <w:tcPr>
            <w:tcW w:w="851" w:type="dxa"/>
            <w:tcBorders>
              <w:bottom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950" w:type="dxa"/>
            <w:tcBorders>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项</w:t>
            </w:r>
          </w:p>
        </w:tc>
        <w:tc>
          <w:tcPr>
            <w:tcW w:w="1701" w:type="dxa"/>
            <w:tcBorders>
              <w:lef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9.0</w:t>
            </w:r>
          </w:p>
        </w:tc>
        <w:tc>
          <w:tcPr>
            <w:tcW w:w="174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台州市机关服务中心</w:t>
            </w:r>
          </w:p>
        </w:tc>
      </w:tr>
    </w:tbl>
    <w:p>
      <w:pPr>
        <w:spacing w:line="360" w:lineRule="auto"/>
        <w:outlineLvl w:val="1"/>
        <w:rPr>
          <w:rFonts w:ascii="宋体" w:hAnsi="宋体"/>
          <w:b/>
          <w:color w:val="auto"/>
          <w:sz w:val="24"/>
          <w:szCs w:val="24"/>
        </w:rPr>
      </w:pPr>
      <w:r>
        <w:rPr>
          <w:rFonts w:hint="eastAsia" w:ascii="宋体" w:hAnsi="宋体"/>
          <w:b/>
          <w:color w:val="auto"/>
          <w:sz w:val="24"/>
          <w:szCs w:val="24"/>
        </w:rPr>
        <w:t>二、技术需求</w:t>
      </w:r>
    </w:p>
    <w:p>
      <w:pPr>
        <w:spacing w:line="360" w:lineRule="auto"/>
        <w:rPr>
          <w:rFonts w:ascii="宋体" w:hAnsi="宋体"/>
          <w:color w:val="auto"/>
          <w:sz w:val="24"/>
          <w:szCs w:val="24"/>
        </w:rPr>
      </w:pPr>
      <w:r>
        <w:rPr>
          <w:rFonts w:hint="eastAsia" w:ascii="宋体" w:hAnsi="宋体"/>
          <w:color w:val="auto"/>
          <w:sz w:val="24"/>
          <w:szCs w:val="24"/>
        </w:rPr>
        <w:t>1、项目概况：台州行政中心</w:t>
      </w:r>
      <w:r>
        <w:rPr>
          <w:rFonts w:ascii="宋体" w:hAnsi="宋体"/>
          <w:color w:val="auto"/>
          <w:sz w:val="24"/>
          <w:szCs w:val="24"/>
        </w:rPr>
        <w:t>3#</w:t>
      </w:r>
      <w:r>
        <w:rPr>
          <w:rFonts w:hint="eastAsia" w:ascii="宋体" w:hAnsi="宋体"/>
          <w:color w:val="auto"/>
          <w:sz w:val="24"/>
          <w:szCs w:val="24"/>
        </w:rPr>
        <w:t>楼增加无线烟感及水系统监测。</w:t>
      </w:r>
    </w:p>
    <w:p>
      <w:pPr>
        <w:spacing w:line="360" w:lineRule="auto"/>
        <w:rPr>
          <w:rFonts w:ascii="宋体" w:hAnsi="宋体"/>
          <w:color w:val="auto"/>
          <w:sz w:val="24"/>
          <w:szCs w:val="24"/>
        </w:rPr>
      </w:pPr>
      <w:r>
        <w:rPr>
          <w:rFonts w:hint="eastAsia" w:ascii="宋体" w:hAnsi="宋体"/>
          <w:color w:val="auto"/>
          <w:sz w:val="24"/>
          <w:szCs w:val="24"/>
        </w:rPr>
        <w:t>2、安装设备如下：</w:t>
      </w:r>
    </w:p>
    <w:tbl>
      <w:tblPr>
        <w:tblStyle w:val="5"/>
        <w:tblW w:w="8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2967"/>
        <w:gridCol w:w="740"/>
        <w:gridCol w:w="889"/>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序号</w:t>
            </w:r>
          </w:p>
        </w:tc>
        <w:tc>
          <w:tcPr>
            <w:tcW w:w="2967"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设备名称</w:t>
            </w:r>
          </w:p>
        </w:tc>
        <w:tc>
          <w:tcPr>
            <w:tcW w:w="740"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数量</w:t>
            </w:r>
          </w:p>
        </w:tc>
        <w:tc>
          <w:tcPr>
            <w:tcW w:w="889"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单位</w:t>
            </w:r>
          </w:p>
        </w:tc>
        <w:tc>
          <w:tcPr>
            <w:tcW w:w="2483"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安装地点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1</w:t>
            </w:r>
          </w:p>
        </w:tc>
        <w:tc>
          <w:tcPr>
            <w:tcW w:w="2967"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智慧消防平台</w:t>
            </w:r>
          </w:p>
        </w:tc>
        <w:tc>
          <w:tcPr>
            <w:tcW w:w="740"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1</w:t>
            </w:r>
          </w:p>
        </w:tc>
        <w:tc>
          <w:tcPr>
            <w:tcW w:w="889"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套</w:t>
            </w:r>
          </w:p>
        </w:tc>
        <w:tc>
          <w:tcPr>
            <w:tcW w:w="2483" w:type="dxa"/>
            <w:vMerge w:val="restart"/>
            <w:shd w:val="clear" w:color="auto" w:fill="auto"/>
            <w:vAlign w:val="center"/>
          </w:tcPr>
          <w:p>
            <w:pPr>
              <w:jc w:val="center"/>
              <w:rPr>
                <w:rFonts w:ascii="宋体" w:hAnsi="宋体"/>
                <w:color w:val="auto"/>
                <w:sz w:val="24"/>
                <w:szCs w:val="24"/>
              </w:rPr>
            </w:pPr>
            <w:r>
              <w:rPr>
                <w:rFonts w:hint="eastAsia" w:ascii="宋体" w:hAnsi="宋体"/>
                <w:color w:val="auto"/>
                <w:sz w:val="24"/>
                <w:szCs w:val="24"/>
              </w:rPr>
              <w:t>台州行政中心</w:t>
            </w:r>
            <w:r>
              <w:rPr>
                <w:rFonts w:ascii="宋体" w:hAnsi="宋体"/>
                <w:color w:val="auto"/>
                <w:sz w:val="24"/>
                <w:szCs w:val="24"/>
              </w:rPr>
              <w:t>3#</w:t>
            </w:r>
            <w:r>
              <w:rPr>
                <w:rFonts w:hint="eastAsia" w:ascii="宋体" w:hAnsi="宋体"/>
                <w:color w:val="auto"/>
                <w:sz w:val="24"/>
                <w:szCs w:val="24"/>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2</w:t>
            </w:r>
          </w:p>
        </w:tc>
        <w:tc>
          <w:tcPr>
            <w:tcW w:w="2967"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平面图测绘制作费</w:t>
            </w:r>
          </w:p>
        </w:tc>
        <w:tc>
          <w:tcPr>
            <w:tcW w:w="740"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8</w:t>
            </w:r>
          </w:p>
        </w:tc>
        <w:tc>
          <w:tcPr>
            <w:tcW w:w="889" w:type="dxa"/>
            <w:shd w:val="clear" w:color="auto" w:fill="auto"/>
            <w:vAlign w:val="center"/>
          </w:tcPr>
          <w:p>
            <w:pPr>
              <w:jc w:val="center"/>
              <w:rPr>
                <w:rFonts w:ascii="宋体" w:hAnsi="宋体"/>
                <w:color w:val="auto"/>
                <w:sz w:val="24"/>
                <w:szCs w:val="24"/>
              </w:rPr>
            </w:pPr>
            <w:r>
              <w:rPr>
                <w:rFonts w:ascii="宋体" w:hAnsi="宋体"/>
                <w:color w:val="auto"/>
                <w:sz w:val="24"/>
                <w:szCs w:val="24"/>
              </w:rPr>
              <w:t>层</w:t>
            </w:r>
          </w:p>
        </w:tc>
        <w:tc>
          <w:tcPr>
            <w:tcW w:w="2483" w:type="dxa"/>
            <w:vMerge w:val="continue"/>
            <w:shd w:val="clear" w:color="auto" w:fill="auto"/>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3</w:t>
            </w:r>
          </w:p>
        </w:tc>
        <w:tc>
          <w:tcPr>
            <w:tcW w:w="2967"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烟感点位录入</w:t>
            </w:r>
          </w:p>
        </w:tc>
        <w:tc>
          <w:tcPr>
            <w:tcW w:w="740"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233</w:t>
            </w:r>
          </w:p>
        </w:tc>
        <w:tc>
          <w:tcPr>
            <w:tcW w:w="889" w:type="dxa"/>
            <w:shd w:val="clear" w:color="auto" w:fill="auto"/>
            <w:vAlign w:val="center"/>
          </w:tcPr>
          <w:p>
            <w:pPr>
              <w:jc w:val="center"/>
              <w:rPr>
                <w:rFonts w:ascii="宋体" w:hAnsi="宋体"/>
                <w:color w:val="auto"/>
                <w:sz w:val="24"/>
                <w:szCs w:val="24"/>
              </w:rPr>
            </w:pPr>
            <w:r>
              <w:rPr>
                <w:rFonts w:ascii="宋体" w:hAnsi="宋体"/>
                <w:color w:val="auto"/>
                <w:sz w:val="24"/>
                <w:szCs w:val="24"/>
              </w:rPr>
              <w:t>个</w:t>
            </w:r>
          </w:p>
        </w:tc>
        <w:tc>
          <w:tcPr>
            <w:tcW w:w="2483" w:type="dxa"/>
            <w:vMerge w:val="continue"/>
            <w:shd w:val="clear" w:color="auto" w:fill="auto"/>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4</w:t>
            </w:r>
          </w:p>
        </w:tc>
        <w:tc>
          <w:tcPr>
            <w:tcW w:w="2967"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无线烟感</w:t>
            </w:r>
          </w:p>
        </w:tc>
        <w:tc>
          <w:tcPr>
            <w:tcW w:w="740"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233</w:t>
            </w:r>
          </w:p>
        </w:tc>
        <w:tc>
          <w:tcPr>
            <w:tcW w:w="889" w:type="dxa"/>
            <w:shd w:val="clear" w:color="auto" w:fill="auto"/>
            <w:vAlign w:val="center"/>
          </w:tcPr>
          <w:p>
            <w:pPr>
              <w:jc w:val="center"/>
              <w:rPr>
                <w:rFonts w:ascii="宋体" w:hAnsi="宋体"/>
                <w:color w:val="auto"/>
                <w:sz w:val="24"/>
                <w:szCs w:val="24"/>
              </w:rPr>
            </w:pPr>
            <w:r>
              <w:rPr>
                <w:rFonts w:ascii="宋体" w:hAnsi="宋体"/>
                <w:color w:val="auto"/>
                <w:sz w:val="24"/>
                <w:szCs w:val="24"/>
              </w:rPr>
              <w:t>个</w:t>
            </w:r>
          </w:p>
        </w:tc>
        <w:tc>
          <w:tcPr>
            <w:tcW w:w="2483" w:type="dxa"/>
            <w:vMerge w:val="continue"/>
            <w:shd w:val="clear" w:color="auto" w:fill="auto"/>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49"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5</w:t>
            </w:r>
          </w:p>
        </w:tc>
        <w:tc>
          <w:tcPr>
            <w:tcW w:w="2967"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室内消火栓水压监测仪</w:t>
            </w:r>
          </w:p>
        </w:tc>
        <w:tc>
          <w:tcPr>
            <w:tcW w:w="740"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1</w:t>
            </w:r>
          </w:p>
        </w:tc>
        <w:tc>
          <w:tcPr>
            <w:tcW w:w="889" w:type="dxa"/>
            <w:shd w:val="clear" w:color="auto" w:fill="auto"/>
            <w:vAlign w:val="center"/>
          </w:tcPr>
          <w:p>
            <w:pPr>
              <w:jc w:val="center"/>
              <w:rPr>
                <w:rFonts w:ascii="宋体" w:hAnsi="宋体"/>
                <w:color w:val="auto"/>
                <w:sz w:val="24"/>
                <w:szCs w:val="24"/>
              </w:rPr>
            </w:pPr>
            <w:r>
              <w:rPr>
                <w:rFonts w:ascii="宋体" w:hAnsi="宋体"/>
                <w:color w:val="auto"/>
                <w:sz w:val="24"/>
                <w:szCs w:val="24"/>
              </w:rPr>
              <w:t>台</w:t>
            </w:r>
          </w:p>
        </w:tc>
        <w:tc>
          <w:tcPr>
            <w:tcW w:w="2483" w:type="dxa"/>
            <w:vMerge w:val="continue"/>
            <w:shd w:val="clear" w:color="auto" w:fill="auto"/>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6</w:t>
            </w:r>
          </w:p>
        </w:tc>
        <w:tc>
          <w:tcPr>
            <w:tcW w:w="2967"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泵出水口水压监测仪</w:t>
            </w:r>
          </w:p>
        </w:tc>
        <w:tc>
          <w:tcPr>
            <w:tcW w:w="740"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1</w:t>
            </w:r>
          </w:p>
        </w:tc>
        <w:tc>
          <w:tcPr>
            <w:tcW w:w="889" w:type="dxa"/>
            <w:shd w:val="clear" w:color="auto" w:fill="auto"/>
            <w:vAlign w:val="center"/>
          </w:tcPr>
          <w:p>
            <w:pPr>
              <w:jc w:val="center"/>
              <w:rPr>
                <w:rFonts w:ascii="宋体" w:hAnsi="宋体"/>
                <w:color w:val="auto"/>
                <w:sz w:val="24"/>
                <w:szCs w:val="24"/>
              </w:rPr>
            </w:pPr>
            <w:r>
              <w:rPr>
                <w:rFonts w:ascii="宋体" w:hAnsi="宋体"/>
                <w:color w:val="auto"/>
                <w:sz w:val="24"/>
                <w:szCs w:val="24"/>
              </w:rPr>
              <w:t>台</w:t>
            </w:r>
          </w:p>
        </w:tc>
        <w:tc>
          <w:tcPr>
            <w:tcW w:w="2483" w:type="dxa"/>
            <w:vMerge w:val="continue"/>
            <w:shd w:val="clear" w:color="auto" w:fill="auto"/>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9"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7</w:t>
            </w:r>
          </w:p>
        </w:tc>
        <w:tc>
          <w:tcPr>
            <w:tcW w:w="2967"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液位监测仪</w:t>
            </w:r>
          </w:p>
        </w:tc>
        <w:tc>
          <w:tcPr>
            <w:tcW w:w="740"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2</w:t>
            </w:r>
          </w:p>
        </w:tc>
        <w:tc>
          <w:tcPr>
            <w:tcW w:w="889" w:type="dxa"/>
            <w:shd w:val="clear" w:color="auto" w:fill="auto"/>
            <w:vAlign w:val="center"/>
          </w:tcPr>
          <w:p>
            <w:pPr>
              <w:jc w:val="center"/>
              <w:rPr>
                <w:rFonts w:ascii="宋体" w:hAnsi="宋体"/>
                <w:color w:val="auto"/>
                <w:sz w:val="24"/>
                <w:szCs w:val="24"/>
              </w:rPr>
            </w:pPr>
            <w:r>
              <w:rPr>
                <w:rFonts w:ascii="宋体" w:hAnsi="宋体"/>
                <w:color w:val="auto"/>
                <w:sz w:val="24"/>
                <w:szCs w:val="24"/>
              </w:rPr>
              <w:t>台</w:t>
            </w:r>
          </w:p>
        </w:tc>
        <w:tc>
          <w:tcPr>
            <w:tcW w:w="2483" w:type="dxa"/>
            <w:vMerge w:val="continue"/>
            <w:shd w:val="clear" w:color="auto" w:fill="auto"/>
            <w:vAlign w:val="center"/>
          </w:tcPr>
          <w:p>
            <w:pPr>
              <w:jc w:val="center"/>
              <w:rPr>
                <w:rFonts w:ascii="宋体" w:hAnsi="宋体"/>
                <w:color w:val="auto"/>
                <w:sz w:val="24"/>
                <w:szCs w:val="24"/>
              </w:rPr>
            </w:pPr>
          </w:p>
        </w:tc>
      </w:tr>
    </w:tbl>
    <w:p>
      <w:pPr>
        <w:spacing w:line="360" w:lineRule="auto"/>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3、设备技术参数及功能特点描述</w:t>
      </w:r>
    </w:p>
    <w:tbl>
      <w:tblPr>
        <w:tblStyle w:val="5"/>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193"/>
        <w:gridCol w:w="4185"/>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序号</w:t>
            </w:r>
          </w:p>
        </w:tc>
        <w:tc>
          <w:tcPr>
            <w:tcW w:w="1193"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设备名称</w:t>
            </w:r>
          </w:p>
        </w:tc>
        <w:tc>
          <w:tcPr>
            <w:tcW w:w="4185"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技术参数</w:t>
            </w:r>
          </w:p>
        </w:tc>
        <w:tc>
          <w:tcPr>
            <w:tcW w:w="3373" w:type="dxa"/>
            <w:vAlign w:val="center"/>
          </w:tcPr>
          <w:p>
            <w:pPr>
              <w:jc w:val="center"/>
              <w:rPr>
                <w:rFonts w:ascii="宋体" w:hAnsi="宋体"/>
                <w:color w:val="auto"/>
                <w:sz w:val="24"/>
                <w:szCs w:val="24"/>
              </w:rPr>
            </w:pPr>
            <w:r>
              <w:rPr>
                <w:rFonts w:hint="eastAsia" w:ascii="宋体" w:hAnsi="宋体"/>
                <w:color w:val="auto"/>
                <w:sz w:val="24"/>
                <w:szCs w:val="24"/>
              </w:rPr>
              <w:t>功能特点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4</w:t>
            </w:r>
          </w:p>
        </w:tc>
        <w:tc>
          <w:tcPr>
            <w:tcW w:w="1193"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无线烟感</w:t>
            </w:r>
          </w:p>
        </w:tc>
        <w:tc>
          <w:tcPr>
            <w:tcW w:w="4185" w:type="dxa"/>
            <w:shd w:val="clear" w:color="auto" w:fill="auto"/>
            <w:vAlign w:val="center"/>
          </w:tcPr>
          <w:p>
            <w:pPr>
              <w:jc w:val="left"/>
              <w:rPr>
                <w:rFonts w:ascii="宋体" w:hAnsi="宋体"/>
                <w:color w:val="auto"/>
                <w:sz w:val="24"/>
                <w:szCs w:val="24"/>
              </w:rPr>
            </w:pPr>
            <w:r>
              <w:rPr>
                <w:rFonts w:hint="eastAsia" w:hAnsi="宋体" w:cs="宋体"/>
                <w:bCs/>
                <w:color w:val="auto"/>
                <w:sz w:val="24"/>
                <w:szCs w:val="24"/>
              </w:rPr>
              <w:t>供电电压：</w:t>
            </w:r>
            <w:r>
              <w:rPr>
                <w:rFonts w:hint="eastAsia" w:ascii="宋体" w:hAnsi="宋体"/>
                <w:color w:val="auto"/>
                <w:sz w:val="24"/>
                <w:szCs w:val="24"/>
              </w:rPr>
              <w:t>DC 3V,5号电池</w:t>
            </w:r>
          </w:p>
          <w:p>
            <w:pPr>
              <w:jc w:val="left"/>
              <w:rPr>
                <w:rFonts w:ascii="宋体" w:hAnsi="宋体"/>
                <w:color w:val="auto"/>
                <w:sz w:val="24"/>
                <w:szCs w:val="24"/>
              </w:rPr>
            </w:pPr>
            <w:r>
              <w:rPr>
                <w:rFonts w:hint="eastAsia" w:hAnsi="宋体" w:cs="宋体"/>
                <w:bCs/>
                <w:color w:val="auto"/>
                <w:sz w:val="24"/>
                <w:szCs w:val="24"/>
              </w:rPr>
              <w:t>电池容量：</w:t>
            </w:r>
            <w:r>
              <w:rPr>
                <w:rFonts w:hint="eastAsia" w:ascii="宋体" w:hAnsi="宋体"/>
                <w:color w:val="auto"/>
                <w:sz w:val="24"/>
                <w:szCs w:val="24"/>
              </w:rPr>
              <w:t>2900mAh</w:t>
            </w:r>
          </w:p>
          <w:p>
            <w:pPr>
              <w:jc w:val="left"/>
              <w:rPr>
                <w:rFonts w:ascii="宋体" w:hAnsi="宋体"/>
                <w:color w:val="auto"/>
                <w:sz w:val="24"/>
                <w:szCs w:val="24"/>
              </w:rPr>
            </w:pPr>
            <w:r>
              <w:rPr>
                <w:rFonts w:hint="eastAsia" w:ascii="宋体" w:hAnsi="宋体"/>
                <w:color w:val="auto"/>
                <w:sz w:val="24"/>
                <w:szCs w:val="24"/>
              </w:rPr>
              <w:t>传感器类型：红外光电式</w:t>
            </w:r>
          </w:p>
          <w:p>
            <w:pPr>
              <w:jc w:val="left"/>
              <w:rPr>
                <w:rFonts w:ascii="宋体" w:hAnsi="宋体"/>
                <w:color w:val="auto"/>
                <w:sz w:val="24"/>
                <w:szCs w:val="24"/>
              </w:rPr>
            </w:pPr>
            <w:r>
              <w:rPr>
                <w:rFonts w:hint="eastAsia" w:hAnsi="宋体" w:cs="宋体"/>
                <w:bCs/>
                <w:color w:val="auto"/>
                <w:sz w:val="24"/>
                <w:szCs w:val="24"/>
              </w:rPr>
              <w:t>报警声压：＞85dB（正前方3米处，A计权），压电式</w:t>
            </w:r>
          </w:p>
          <w:p>
            <w:pPr>
              <w:jc w:val="left"/>
              <w:rPr>
                <w:rFonts w:ascii="宋体" w:hAnsi="宋体"/>
                <w:color w:val="auto"/>
                <w:sz w:val="24"/>
                <w:szCs w:val="24"/>
              </w:rPr>
            </w:pPr>
            <w:r>
              <w:rPr>
                <w:rFonts w:hint="eastAsia" w:ascii="宋体" w:hAnsi="宋体"/>
                <w:color w:val="auto"/>
                <w:sz w:val="24"/>
                <w:szCs w:val="24"/>
              </w:rPr>
              <w:t>模块类型：</w:t>
            </w:r>
            <w:r>
              <w:rPr>
                <w:rFonts w:ascii="宋体" w:hAnsi="宋体"/>
                <w:color w:val="auto"/>
                <w:sz w:val="24"/>
                <w:szCs w:val="24"/>
              </w:rPr>
              <w:t>BC26/sim7020</w:t>
            </w:r>
          </w:p>
          <w:p>
            <w:pPr>
              <w:jc w:val="left"/>
              <w:rPr>
                <w:rFonts w:ascii="宋体" w:hAnsi="宋体"/>
                <w:color w:val="auto"/>
                <w:sz w:val="24"/>
                <w:szCs w:val="24"/>
              </w:rPr>
            </w:pPr>
            <w:r>
              <w:rPr>
                <w:rFonts w:hint="eastAsia" w:ascii="宋体" w:hAnsi="宋体"/>
                <w:bCs/>
                <w:color w:val="auto"/>
                <w:sz w:val="24"/>
                <w:szCs w:val="24"/>
              </w:rPr>
              <w:t>通信方式：NB-IoT</w:t>
            </w:r>
          </w:p>
          <w:p>
            <w:pPr>
              <w:jc w:val="left"/>
              <w:rPr>
                <w:rFonts w:ascii="宋体" w:hAnsi="宋体"/>
                <w:color w:val="auto"/>
                <w:sz w:val="24"/>
                <w:szCs w:val="24"/>
              </w:rPr>
            </w:pPr>
            <w:r>
              <w:rPr>
                <w:rFonts w:hint="eastAsia" w:ascii="宋体" w:hAnsi="宋体"/>
                <w:color w:val="auto"/>
                <w:sz w:val="24"/>
                <w:szCs w:val="24"/>
              </w:rPr>
              <w:t>运营商：支持移动、电信、联通</w:t>
            </w:r>
          </w:p>
          <w:p>
            <w:pPr>
              <w:jc w:val="left"/>
              <w:rPr>
                <w:rFonts w:ascii="宋体" w:hAnsi="宋体" w:cs="宋体"/>
                <w:color w:val="auto"/>
                <w:sz w:val="24"/>
                <w:szCs w:val="24"/>
              </w:rPr>
            </w:pPr>
            <w:r>
              <w:rPr>
                <w:rFonts w:hint="eastAsia" w:ascii="宋体" w:hAnsi="宋体" w:cs="宋体"/>
                <w:color w:val="auto"/>
                <w:sz w:val="24"/>
                <w:szCs w:val="24"/>
              </w:rPr>
              <w:t>温度值上报：50℃至75℃</w:t>
            </w:r>
          </w:p>
          <w:p>
            <w:pPr>
              <w:jc w:val="left"/>
              <w:rPr>
                <w:rFonts w:ascii="宋体" w:hAnsi="宋体" w:cs="宋体"/>
                <w:color w:val="auto"/>
                <w:sz w:val="24"/>
                <w:szCs w:val="24"/>
              </w:rPr>
            </w:pPr>
            <w:r>
              <w:rPr>
                <w:rFonts w:hint="eastAsia" w:ascii="宋体" w:hAnsi="宋体" w:cs="宋体"/>
                <w:color w:val="auto"/>
                <w:sz w:val="24"/>
                <w:szCs w:val="24"/>
              </w:rPr>
              <w:t>静音时间：90秒</w:t>
            </w:r>
          </w:p>
          <w:p>
            <w:pPr>
              <w:jc w:val="left"/>
              <w:rPr>
                <w:rFonts w:ascii="宋体" w:hAnsi="宋体" w:cs="宋体"/>
                <w:color w:val="auto"/>
                <w:sz w:val="24"/>
                <w:szCs w:val="24"/>
              </w:rPr>
            </w:pPr>
            <w:r>
              <w:rPr>
                <w:rFonts w:hint="eastAsia" w:ascii="宋体" w:hAnsi="宋体" w:cs="宋体"/>
                <w:color w:val="auto"/>
                <w:sz w:val="24"/>
                <w:szCs w:val="24"/>
              </w:rPr>
              <w:t>报警方式：声光报警</w:t>
            </w:r>
          </w:p>
          <w:p>
            <w:pPr>
              <w:jc w:val="left"/>
              <w:rPr>
                <w:rFonts w:ascii="宋体" w:hAnsi="宋体" w:cs="宋体"/>
                <w:color w:val="auto"/>
                <w:sz w:val="24"/>
                <w:szCs w:val="24"/>
              </w:rPr>
            </w:pPr>
            <w:r>
              <w:rPr>
                <w:rFonts w:hint="eastAsia" w:ascii="宋体" w:hAnsi="宋体" w:cs="宋体"/>
                <w:color w:val="auto"/>
                <w:sz w:val="24"/>
                <w:szCs w:val="24"/>
              </w:rPr>
              <w:t>报警电流：＜40mA</w:t>
            </w:r>
          </w:p>
          <w:p>
            <w:pPr>
              <w:jc w:val="left"/>
              <w:rPr>
                <w:rFonts w:ascii="宋体" w:hAnsi="宋体" w:cs="宋体"/>
                <w:color w:val="auto"/>
                <w:sz w:val="24"/>
                <w:szCs w:val="24"/>
              </w:rPr>
            </w:pPr>
            <w:r>
              <w:rPr>
                <w:rFonts w:hint="eastAsia" w:ascii="宋体" w:hAnsi="宋体" w:cs="宋体"/>
                <w:color w:val="auto"/>
                <w:sz w:val="24"/>
                <w:szCs w:val="24"/>
              </w:rPr>
              <w:t>静态电流：≤10μA</w:t>
            </w:r>
          </w:p>
          <w:p>
            <w:pPr>
              <w:jc w:val="left"/>
              <w:rPr>
                <w:rFonts w:ascii="宋体" w:hAnsi="宋体" w:cs="宋体"/>
                <w:color w:val="auto"/>
                <w:sz w:val="24"/>
                <w:szCs w:val="24"/>
              </w:rPr>
            </w:pPr>
            <w:r>
              <w:rPr>
                <w:rFonts w:hint="eastAsia" w:ascii="宋体" w:hAnsi="宋体" w:cs="宋体"/>
                <w:color w:val="auto"/>
                <w:sz w:val="24"/>
                <w:szCs w:val="24"/>
              </w:rPr>
              <w:t>发射电流：＜120mA</w:t>
            </w:r>
          </w:p>
          <w:p>
            <w:pPr>
              <w:jc w:val="left"/>
              <w:rPr>
                <w:rFonts w:ascii="宋体" w:hAnsi="宋体"/>
                <w:color w:val="auto"/>
                <w:sz w:val="24"/>
                <w:szCs w:val="24"/>
              </w:rPr>
            </w:pPr>
            <w:r>
              <w:rPr>
                <w:rFonts w:hint="eastAsia" w:ascii="宋体" w:hAnsi="宋体"/>
                <w:color w:val="auto"/>
                <w:sz w:val="24"/>
                <w:szCs w:val="24"/>
              </w:rPr>
              <w:t>工作温度：</w:t>
            </w:r>
            <w:r>
              <w:rPr>
                <w:rFonts w:ascii="宋体" w:hAnsi="宋体"/>
                <w:color w:val="auto"/>
                <w:sz w:val="24"/>
                <w:szCs w:val="24"/>
              </w:rPr>
              <w:t>-10℃- +50℃</w:t>
            </w:r>
          </w:p>
          <w:p>
            <w:pPr>
              <w:jc w:val="left"/>
              <w:rPr>
                <w:rFonts w:ascii="宋体" w:hAnsi="宋体"/>
                <w:color w:val="auto"/>
                <w:sz w:val="24"/>
                <w:szCs w:val="24"/>
              </w:rPr>
            </w:pPr>
            <w:r>
              <w:rPr>
                <w:rFonts w:hint="eastAsia" w:ascii="宋体" w:hAnsi="宋体"/>
                <w:color w:val="auto"/>
                <w:sz w:val="24"/>
                <w:szCs w:val="24"/>
              </w:rPr>
              <w:t>工作湿度：最大95%RH（无凝结现象）</w:t>
            </w:r>
          </w:p>
        </w:tc>
        <w:tc>
          <w:tcPr>
            <w:tcW w:w="3373" w:type="dxa"/>
            <w:vAlign w:val="center"/>
          </w:tcPr>
          <w:p>
            <w:pPr>
              <w:jc w:val="left"/>
              <w:rPr>
                <w:rFonts w:ascii="宋体" w:hAnsi="宋体"/>
                <w:color w:val="auto"/>
                <w:sz w:val="24"/>
                <w:szCs w:val="24"/>
              </w:rPr>
            </w:pPr>
            <w:r>
              <w:rPr>
                <w:rFonts w:hint="eastAsia" w:ascii="宋体" w:hAnsi="宋体"/>
                <w:color w:val="auto"/>
                <w:sz w:val="24"/>
                <w:szCs w:val="24"/>
              </w:rPr>
              <w:t>（1）支持上报电池电量功能</w:t>
            </w:r>
          </w:p>
          <w:p>
            <w:pPr>
              <w:jc w:val="left"/>
              <w:rPr>
                <w:rFonts w:ascii="宋体" w:hAnsi="宋体"/>
                <w:color w:val="auto"/>
                <w:sz w:val="24"/>
                <w:szCs w:val="24"/>
              </w:rPr>
            </w:pPr>
            <w:r>
              <w:rPr>
                <w:rFonts w:hint="eastAsia" w:ascii="宋体" w:hAnsi="宋体"/>
                <w:color w:val="auto"/>
                <w:sz w:val="24"/>
                <w:szCs w:val="24"/>
              </w:rPr>
              <w:t>（2）支持低电量报警功能</w:t>
            </w:r>
          </w:p>
          <w:p>
            <w:pPr>
              <w:jc w:val="left"/>
              <w:rPr>
                <w:rFonts w:ascii="宋体" w:hAnsi="宋体"/>
                <w:color w:val="auto"/>
                <w:sz w:val="24"/>
                <w:szCs w:val="24"/>
              </w:rPr>
            </w:pPr>
            <w:r>
              <w:rPr>
                <w:rFonts w:hint="eastAsia" w:ascii="宋体" w:hAnsi="宋体"/>
                <w:color w:val="auto"/>
                <w:sz w:val="24"/>
                <w:szCs w:val="24"/>
              </w:rPr>
              <w:t>（3）支持上报</w:t>
            </w:r>
            <w:r>
              <w:rPr>
                <w:rFonts w:ascii="宋体" w:hAnsi="宋体"/>
                <w:color w:val="auto"/>
                <w:sz w:val="24"/>
                <w:szCs w:val="24"/>
              </w:rPr>
              <w:t>NB信号强度</w:t>
            </w:r>
          </w:p>
          <w:p>
            <w:pPr>
              <w:jc w:val="left"/>
              <w:rPr>
                <w:rFonts w:ascii="宋体" w:hAnsi="宋体"/>
                <w:color w:val="auto"/>
                <w:sz w:val="24"/>
                <w:szCs w:val="24"/>
              </w:rPr>
            </w:pPr>
            <w:r>
              <w:rPr>
                <w:rFonts w:hint="eastAsia" w:ascii="宋体" w:hAnsi="宋体"/>
                <w:color w:val="auto"/>
                <w:sz w:val="24"/>
                <w:szCs w:val="24"/>
              </w:rPr>
              <w:t>（4）支持本地</w:t>
            </w:r>
            <w:r>
              <w:rPr>
                <w:rFonts w:ascii="宋体" w:hAnsi="宋体"/>
                <w:color w:val="auto"/>
                <w:sz w:val="24"/>
                <w:szCs w:val="24"/>
              </w:rPr>
              <w:t>85dB（正前方3米处）以上声光报警</w:t>
            </w:r>
          </w:p>
          <w:p>
            <w:pPr>
              <w:jc w:val="left"/>
              <w:rPr>
                <w:rFonts w:ascii="宋体" w:hAnsi="宋体"/>
                <w:color w:val="auto"/>
                <w:sz w:val="24"/>
                <w:szCs w:val="24"/>
              </w:rPr>
            </w:pPr>
            <w:r>
              <w:rPr>
                <w:rFonts w:hint="eastAsia" w:ascii="宋体" w:hAnsi="宋体"/>
                <w:color w:val="auto"/>
                <w:sz w:val="24"/>
                <w:szCs w:val="24"/>
              </w:rPr>
              <w:t>（5）支持推送烟雾报警到云端</w:t>
            </w:r>
          </w:p>
          <w:p>
            <w:pPr>
              <w:jc w:val="left"/>
              <w:rPr>
                <w:rFonts w:ascii="宋体" w:hAnsi="宋体"/>
                <w:color w:val="auto"/>
                <w:sz w:val="24"/>
                <w:szCs w:val="24"/>
              </w:rPr>
            </w:pPr>
            <w:r>
              <w:rPr>
                <w:rFonts w:hint="eastAsia" w:ascii="宋体" w:hAnsi="宋体"/>
                <w:color w:val="auto"/>
                <w:sz w:val="24"/>
                <w:szCs w:val="24"/>
              </w:rPr>
              <w:t>（6）支持温度上报功能</w:t>
            </w:r>
          </w:p>
          <w:p>
            <w:pPr>
              <w:jc w:val="left"/>
              <w:rPr>
                <w:rFonts w:ascii="宋体" w:hAnsi="宋体"/>
                <w:color w:val="auto"/>
                <w:sz w:val="24"/>
                <w:szCs w:val="24"/>
              </w:rPr>
            </w:pPr>
            <w:r>
              <w:rPr>
                <w:rFonts w:hint="eastAsia" w:ascii="宋体" w:hAnsi="宋体"/>
                <w:color w:val="auto"/>
                <w:sz w:val="24"/>
                <w:szCs w:val="24"/>
              </w:rPr>
              <w:t>（7）远程温度阈值设置功能</w:t>
            </w:r>
          </w:p>
          <w:p>
            <w:pPr>
              <w:jc w:val="left"/>
              <w:rPr>
                <w:rFonts w:ascii="宋体" w:hAnsi="宋体"/>
                <w:color w:val="auto"/>
                <w:sz w:val="24"/>
                <w:szCs w:val="24"/>
              </w:rPr>
            </w:pPr>
            <w:r>
              <w:rPr>
                <w:rFonts w:hint="eastAsia" w:ascii="宋体" w:hAnsi="宋体"/>
                <w:color w:val="auto"/>
                <w:sz w:val="24"/>
                <w:szCs w:val="24"/>
              </w:rPr>
              <w:t>（8）支持本地手动静音功能</w:t>
            </w:r>
          </w:p>
          <w:p>
            <w:pPr>
              <w:jc w:val="left"/>
              <w:rPr>
                <w:rFonts w:ascii="宋体" w:hAnsi="宋体"/>
                <w:color w:val="auto"/>
                <w:sz w:val="24"/>
                <w:szCs w:val="24"/>
              </w:rPr>
            </w:pPr>
            <w:r>
              <w:rPr>
                <w:rFonts w:hint="eastAsia" w:ascii="宋体" w:hAnsi="宋体"/>
                <w:color w:val="auto"/>
                <w:sz w:val="24"/>
                <w:szCs w:val="24"/>
              </w:rPr>
              <w:t>（9）具备远程静音功能</w:t>
            </w:r>
          </w:p>
          <w:p>
            <w:pPr>
              <w:jc w:val="left"/>
              <w:rPr>
                <w:rFonts w:ascii="宋体" w:hAnsi="宋体"/>
                <w:color w:val="auto"/>
                <w:sz w:val="24"/>
                <w:szCs w:val="24"/>
              </w:rPr>
            </w:pPr>
            <w:r>
              <w:rPr>
                <w:rFonts w:hint="eastAsia" w:ascii="宋体" w:hAnsi="宋体"/>
                <w:color w:val="auto"/>
                <w:sz w:val="24"/>
                <w:szCs w:val="24"/>
              </w:rPr>
              <w:t>（10）具备远程重启功能</w:t>
            </w:r>
          </w:p>
          <w:p>
            <w:pPr>
              <w:jc w:val="left"/>
              <w:rPr>
                <w:rFonts w:ascii="宋体" w:hAnsi="宋体"/>
                <w:color w:val="auto"/>
                <w:sz w:val="24"/>
                <w:szCs w:val="24"/>
              </w:rPr>
            </w:pPr>
            <w:r>
              <w:rPr>
                <w:rFonts w:hint="eastAsia" w:ascii="宋体" w:hAnsi="宋体"/>
                <w:color w:val="auto"/>
                <w:sz w:val="24"/>
                <w:szCs w:val="24"/>
              </w:rPr>
              <w:t>（11）支持本地传感器故障提示，远程报警</w:t>
            </w:r>
          </w:p>
          <w:p>
            <w:pPr>
              <w:jc w:val="left"/>
              <w:rPr>
                <w:rFonts w:ascii="宋体" w:hAnsi="宋体"/>
                <w:color w:val="auto"/>
                <w:sz w:val="24"/>
                <w:szCs w:val="24"/>
              </w:rPr>
            </w:pPr>
            <w:r>
              <w:rPr>
                <w:rFonts w:hint="eastAsia" w:ascii="宋体" w:hAnsi="宋体"/>
                <w:color w:val="auto"/>
                <w:sz w:val="24"/>
                <w:szCs w:val="24"/>
              </w:rPr>
              <w:t>（12）支持上报</w:t>
            </w:r>
            <w:r>
              <w:rPr>
                <w:rFonts w:ascii="宋体" w:hAnsi="宋体"/>
                <w:color w:val="auto"/>
                <w:sz w:val="24"/>
                <w:szCs w:val="24"/>
              </w:rPr>
              <w:t>SIM的IMSI号码到云端</w:t>
            </w:r>
          </w:p>
          <w:p>
            <w:pPr>
              <w:jc w:val="left"/>
              <w:rPr>
                <w:rFonts w:ascii="宋体" w:hAnsi="宋体"/>
                <w:color w:val="auto"/>
                <w:sz w:val="24"/>
                <w:szCs w:val="24"/>
              </w:rPr>
            </w:pPr>
            <w:r>
              <w:rPr>
                <w:rFonts w:hint="eastAsia" w:ascii="宋体" w:hAnsi="宋体"/>
                <w:color w:val="auto"/>
                <w:sz w:val="24"/>
                <w:szCs w:val="24"/>
              </w:rPr>
              <w:t>（13）支持云端设置心跳时间间隔</w:t>
            </w:r>
          </w:p>
          <w:p>
            <w:pPr>
              <w:jc w:val="left"/>
              <w:rPr>
                <w:rFonts w:ascii="宋体" w:hAnsi="宋体"/>
                <w:color w:val="auto"/>
                <w:sz w:val="24"/>
                <w:szCs w:val="24"/>
              </w:rPr>
            </w:pPr>
            <w:r>
              <w:rPr>
                <w:rFonts w:hint="eastAsia" w:ascii="宋体" w:hAnsi="宋体"/>
                <w:color w:val="auto"/>
                <w:sz w:val="24"/>
                <w:szCs w:val="24"/>
              </w:rPr>
              <w:t>（14）支持</w:t>
            </w:r>
            <w:r>
              <w:rPr>
                <w:rFonts w:ascii="宋体" w:hAnsi="宋体"/>
                <w:color w:val="auto"/>
                <w:sz w:val="24"/>
                <w:szCs w:val="24"/>
              </w:rPr>
              <w:t>APP、电话、短信报警推送功能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6</w:t>
            </w:r>
          </w:p>
        </w:tc>
        <w:tc>
          <w:tcPr>
            <w:tcW w:w="1193"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水压监测仪</w:t>
            </w:r>
          </w:p>
        </w:tc>
        <w:tc>
          <w:tcPr>
            <w:tcW w:w="4185" w:type="dxa"/>
            <w:shd w:val="clear" w:color="auto" w:fill="auto"/>
            <w:vAlign w:val="center"/>
          </w:tcPr>
          <w:p>
            <w:pPr>
              <w:jc w:val="left"/>
              <w:rPr>
                <w:rFonts w:ascii="宋体" w:hAnsi="宋体"/>
                <w:color w:val="auto"/>
                <w:sz w:val="24"/>
                <w:szCs w:val="24"/>
              </w:rPr>
            </w:pPr>
            <w:r>
              <w:rPr>
                <w:rFonts w:ascii="宋体" w:hAnsi="宋体"/>
                <w:color w:val="auto"/>
                <w:sz w:val="24"/>
                <w:szCs w:val="24"/>
              </w:rPr>
              <w:t>量程</w:t>
            </w:r>
            <w:r>
              <w:rPr>
                <w:rFonts w:hint="eastAsia" w:ascii="宋体" w:hAnsi="宋体"/>
                <w:color w:val="auto"/>
                <w:sz w:val="24"/>
                <w:szCs w:val="24"/>
              </w:rPr>
              <w:t>：-1~1 1.6 2.5 4 6 10</w:t>
            </w:r>
            <w:r>
              <w:rPr>
                <w:rFonts w:ascii="宋体" w:hAnsi="宋体"/>
                <w:color w:val="auto"/>
                <w:sz w:val="24"/>
                <w:szCs w:val="24"/>
              </w:rPr>
              <w:t>…</w:t>
            </w:r>
            <w:r>
              <w:rPr>
                <w:rFonts w:hint="eastAsia" w:ascii="宋体" w:hAnsi="宋体"/>
                <w:color w:val="auto"/>
                <w:sz w:val="24"/>
                <w:szCs w:val="24"/>
              </w:rPr>
              <w:t>1000bar；-100</w:t>
            </w:r>
            <w:r>
              <w:rPr>
                <w:rFonts w:ascii="宋体" w:hAnsi="宋体"/>
                <w:color w:val="auto"/>
                <w:sz w:val="24"/>
                <w:szCs w:val="24"/>
              </w:rPr>
              <w:t>…</w:t>
            </w:r>
            <w:r>
              <w:rPr>
                <w:rFonts w:hint="eastAsia" w:ascii="宋体" w:hAnsi="宋体"/>
                <w:color w:val="auto"/>
                <w:sz w:val="24"/>
                <w:szCs w:val="24"/>
              </w:rPr>
              <w:t>-10..0~10..100..1000kpa</w:t>
            </w:r>
          </w:p>
          <w:p>
            <w:pPr>
              <w:jc w:val="left"/>
              <w:rPr>
                <w:rFonts w:ascii="宋体" w:hAnsi="宋体"/>
                <w:color w:val="auto"/>
                <w:sz w:val="24"/>
                <w:szCs w:val="24"/>
              </w:rPr>
            </w:pPr>
            <w:r>
              <w:rPr>
                <w:rFonts w:hint="eastAsia" w:ascii="宋体" w:hAnsi="宋体"/>
                <w:color w:val="auto"/>
                <w:sz w:val="24"/>
                <w:szCs w:val="24"/>
              </w:rPr>
              <w:t>过载压力：2倍X量程</w:t>
            </w:r>
          </w:p>
          <w:p>
            <w:pPr>
              <w:jc w:val="left"/>
              <w:rPr>
                <w:rFonts w:ascii="宋体" w:hAnsi="宋体"/>
                <w:color w:val="auto"/>
                <w:sz w:val="24"/>
                <w:szCs w:val="24"/>
              </w:rPr>
            </w:pPr>
            <w:r>
              <w:rPr>
                <w:rFonts w:hint="eastAsia" w:ascii="宋体" w:hAnsi="宋体"/>
                <w:color w:val="auto"/>
                <w:sz w:val="24"/>
                <w:szCs w:val="24"/>
              </w:rPr>
              <w:t>精度等级：1%FS</w:t>
            </w:r>
          </w:p>
          <w:p>
            <w:pPr>
              <w:jc w:val="left"/>
              <w:rPr>
                <w:rFonts w:ascii="宋体" w:hAnsi="宋体"/>
                <w:color w:val="auto"/>
                <w:sz w:val="24"/>
                <w:szCs w:val="24"/>
              </w:rPr>
            </w:pPr>
            <w:r>
              <w:rPr>
                <w:rFonts w:hint="eastAsia" w:ascii="宋体" w:hAnsi="宋体"/>
                <w:color w:val="auto"/>
                <w:sz w:val="24"/>
                <w:szCs w:val="24"/>
              </w:rPr>
              <w:t>长期稳定性：±0.3%/年</w:t>
            </w:r>
          </w:p>
          <w:p>
            <w:pPr>
              <w:jc w:val="left"/>
              <w:rPr>
                <w:rFonts w:ascii="宋体" w:hAnsi="宋体"/>
                <w:color w:val="auto"/>
                <w:sz w:val="24"/>
                <w:szCs w:val="24"/>
              </w:rPr>
            </w:pPr>
            <w:r>
              <w:rPr>
                <w:rFonts w:hint="eastAsia" w:ascii="宋体" w:hAnsi="宋体"/>
                <w:color w:val="auto"/>
                <w:sz w:val="24"/>
                <w:szCs w:val="24"/>
              </w:rPr>
              <w:t>使用温度：-40~80℃</w:t>
            </w:r>
          </w:p>
          <w:p>
            <w:pPr>
              <w:jc w:val="left"/>
              <w:rPr>
                <w:rFonts w:ascii="宋体" w:hAnsi="宋体"/>
                <w:color w:val="auto"/>
                <w:sz w:val="24"/>
                <w:szCs w:val="24"/>
              </w:rPr>
            </w:pPr>
            <w:r>
              <w:rPr>
                <w:rFonts w:hint="eastAsia" w:ascii="宋体" w:hAnsi="宋体"/>
                <w:color w:val="auto"/>
                <w:sz w:val="24"/>
                <w:szCs w:val="24"/>
              </w:rPr>
              <w:t>补偿温度：-20~60℃</w:t>
            </w:r>
          </w:p>
          <w:p>
            <w:pPr>
              <w:jc w:val="left"/>
              <w:rPr>
                <w:rFonts w:ascii="宋体" w:hAnsi="宋体"/>
                <w:color w:val="auto"/>
                <w:sz w:val="24"/>
                <w:szCs w:val="24"/>
              </w:rPr>
            </w:pPr>
            <w:r>
              <w:rPr>
                <w:rFonts w:hint="eastAsia" w:ascii="宋体" w:hAnsi="宋体"/>
                <w:color w:val="auto"/>
                <w:sz w:val="24"/>
                <w:szCs w:val="24"/>
              </w:rPr>
              <w:t>供电电压：ER34615H</w:t>
            </w:r>
          </w:p>
          <w:p>
            <w:pPr>
              <w:jc w:val="left"/>
              <w:rPr>
                <w:rFonts w:ascii="宋体" w:hAnsi="宋体"/>
                <w:color w:val="auto"/>
                <w:sz w:val="24"/>
                <w:szCs w:val="24"/>
              </w:rPr>
            </w:pPr>
            <w:r>
              <w:rPr>
                <w:rFonts w:hint="eastAsia" w:ascii="宋体" w:hAnsi="宋体"/>
                <w:color w:val="auto"/>
                <w:sz w:val="24"/>
                <w:szCs w:val="24"/>
              </w:rPr>
              <w:t>采样速率：默认3秒，1-60秒/次可设</w:t>
            </w:r>
          </w:p>
          <w:p>
            <w:pPr>
              <w:jc w:val="left"/>
              <w:rPr>
                <w:rFonts w:ascii="宋体" w:hAnsi="宋体"/>
                <w:color w:val="auto"/>
                <w:sz w:val="24"/>
                <w:szCs w:val="24"/>
              </w:rPr>
            </w:pPr>
            <w:r>
              <w:rPr>
                <w:rFonts w:hint="eastAsia" w:ascii="宋体" w:hAnsi="宋体"/>
                <w:color w:val="auto"/>
                <w:sz w:val="24"/>
                <w:szCs w:val="24"/>
              </w:rPr>
              <w:t>上发速率：10-9999种可设</w:t>
            </w:r>
          </w:p>
          <w:p>
            <w:pPr>
              <w:jc w:val="left"/>
              <w:rPr>
                <w:rFonts w:ascii="宋体" w:hAnsi="宋体"/>
                <w:color w:val="auto"/>
                <w:sz w:val="24"/>
                <w:szCs w:val="24"/>
              </w:rPr>
            </w:pPr>
            <w:r>
              <w:rPr>
                <w:rFonts w:hint="eastAsia" w:ascii="宋体" w:hAnsi="宋体"/>
                <w:color w:val="auto"/>
                <w:sz w:val="24"/>
                <w:szCs w:val="24"/>
              </w:rPr>
              <w:t>报警方式：低报警、高报警/波动报警</w:t>
            </w:r>
          </w:p>
          <w:p>
            <w:pPr>
              <w:jc w:val="center"/>
              <w:rPr>
                <w:rFonts w:ascii="宋体" w:hAnsi="宋体"/>
                <w:color w:val="auto"/>
                <w:sz w:val="24"/>
                <w:szCs w:val="24"/>
              </w:rPr>
            </w:pPr>
            <w:r>
              <w:rPr>
                <w:rFonts w:hint="eastAsia" w:ascii="宋体" w:hAnsi="宋体"/>
                <w:color w:val="auto"/>
                <w:sz w:val="24"/>
                <w:szCs w:val="24"/>
              </w:rPr>
              <w:t>报警值设定：量程的10%-90%</w:t>
            </w:r>
          </w:p>
        </w:tc>
        <w:tc>
          <w:tcPr>
            <w:tcW w:w="3373" w:type="dxa"/>
            <w:vAlign w:val="center"/>
          </w:tcPr>
          <w:p>
            <w:pPr>
              <w:jc w:val="left"/>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超低功耗设计</w:t>
            </w:r>
          </w:p>
          <w:p>
            <w:pPr>
              <w:jc w:val="left"/>
              <w:rPr>
                <w:rFonts w:ascii="宋体" w:hAnsi="宋体"/>
                <w:color w:val="auto"/>
                <w:sz w:val="24"/>
                <w:szCs w:val="24"/>
              </w:rPr>
            </w:pPr>
            <w:r>
              <w:rPr>
                <w:rFonts w:hint="eastAsia" w:ascii="宋体" w:hAnsi="宋体"/>
                <w:color w:val="auto"/>
                <w:sz w:val="24"/>
                <w:szCs w:val="24"/>
              </w:rPr>
              <w:t>（2）精度高，长期稳定性好</w:t>
            </w:r>
          </w:p>
          <w:p>
            <w:pPr>
              <w:jc w:val="left"/>
              <w:rPr>
                <w:rFonts w:ascii="宋体" w:hAnsi="宋体"/>
                <w:color w:val="auto"/>
                <w:sz w:val="24"/>
                <w:szCs w:val="24"/>
              </w:rPr>
            </w:pPr>
            <w:r>
              <w:rPr>
                <w:rFonts w:hint="eastAsia" w:ascii="宋体" w:hAnsi="宋体"/>
                <w:color w:val="auto"/>
                <w:sz w:val="24"/>
                <w:szCs w:val="24"/>
              </w:rPr>
              <w:t>（3）抗震性强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2"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7</w:t>
            </w:r>
          </w:p>
        </w:tc>
        <w:tc>
          <w:tcPr>
            <w:tcW w:w="1193" w:type="dxa"/>
            <w:shd w:val="clear" w:color="auto" w:fill="auto"/>
            <w:vAlign w:val="center"/>
          </w:tcPr>
          <w:p>
            <w:pPr>
              <w:jc w:val="center"/>
              <w:rPr>
                <w:rFonts w:ascii="宋体" w:hAnsi="宋体"/>
                <w:color w:val="auto"/>
                <w:sz w:val="24"/>
                <w:szCs w:val="24"/>
              </w:rPr>
            </w:pPr>
            <w:r>
              <w:rPr>
                <w:rFonts w:hint="eastAsia" w:ascii="宋体" w:hAnsi="宋体"/>
                <w:color w:val="auto"/>
                <w:sz w:val="24"/>
                <w:szCs w:val="24"/>
              </w:rPr>
              <w:t>液位监测仪</w:t>
            </w:r>
          </w:p>
        </w:tc>
        <w:tc>
          <w:tcPr>
            <w:tcW w:w="4185" w:type="dxa"/>
            <w:shd w:val="clear" w:color="auto" w:fill="auto"/>
            <w:vAlign w:val="center"/>
          </w:tcPr>
          <w:p>
            <w:pPr>
              <w:jc w:val="left"/>
              <w:rPr>
                <w:rFonts w:ascii="宋体" w:hAnsi="宋体"/>
                <w:color w:val="auto"/>
                <w:sz w:val="24"/>
                <w:szCs w:val="24"/>
              </w:rPr>
            </w:pPr>
            <w:r>
              <w:rPr>
                <w:rFonts w:ascii="宋体" w:hAnsi="宋体"/>
                <w:color w:val="auto"/>
                <w:sz w:val="24"/>
                <w:szCs w:val="24"/>
              </w:rPr>
              <w:t>量程</w:t>
            </w:r>
            <w:r>
              <w:rPr>
                <w:rFonts w:hint="eastAsia" w:ascii="宋体" w:hAnsi="宋体"/>
                <w:color w:val="auto"/>
                <w:sz w:val="24"/>
                <w:szCs w:val="24"/>
              </w:rPr>
              <w:t>：0-100m（按实际的液位高度配备）</w:t>
            </w:r>
          </w:p>
          <w:p>
            <w:pPr>
              <w:jc w:val="left"/>
              <w:rPr>
                <w:rFonts w:ascii="宋体" w:hAnsi="宋体"/>
                <w:color w:val="auto"/>
                <w:sz w:val="24"/>
                <w:szCs w:val="24"/>
              </w:rPr>
            </w:pPr>
            <w:r>
              <w:rPr>
                <w:rFonts w:hint="eastAsia" w:ascii="宋体" w:hAnsi="宋体"/>
                <w:color w:val="auto"/>
                <w:sz w:val="24"/>
                <w:szCs w:val="24"/>
              </w:rPr>
              <w:t>过载压力：2倍X量程</w:t>
            </w:r>
          </w:p>
          <w:p>
            <w:pPr>
              <w:jc w:val="left"/>
              <w:rPr>
                <w:rFonts w:ascii="宋体" w:hAnsi="宋体"/>
                <w:color w:val="auto"/>
                <w:sz w:val="24"/>
                <w:szCs w:val="24"/>
              </w:rPr>
            </w:pPr>
            <w:r>
              <w:rPr>
                <w:rFonts w:hint="eastAsia" w:ascii="宋体" w:hAnsi="宋体"/>
                <w:color w:val="auto"/>
                <w:sz w:val="24"/>
                <w:szCs w:val="24"/>
              </w:rPr>
              <w:t>精度等级：1%FS</w:t>
            </w:r>
          </w:p>
          <w:p>
            <w:pPr>
              <w:jc w:val="left"/>
              <w:rPr>
                <w:rFonts w:ascii="宋体" w:hAnsi="宋体"/>
                <w:color w:val="auto"/>
                <w:sz w:val="24"/>
                <w:szCs w:val="24"/>
              </w:rPr>
            </w:pPr>
            <w:r>
              <w:rPr>
                <w:rFonts w:hint="eastAsia" w:ascii="宋体" w:hAnsi="宋体"/>
                <w:color w:val="auto"/>
                <w:sz w:val="24"/>
                <w:szCs w:val="24"/>
              </w:rPr>
              <w:t>长期稳定性：±0.3%/年</w:t>
            </w:r>
          </w:p>
          <w:p>
            <w:pPr>
              <w:jc w:val="left"/>
              <w:rPr>
                <w:rFonts w:ascii="宋体" w:hAnsi="宋体"/>
                <w:color w:val="auto"/>
                <w:sz w:val="24"/>
                <w:szCs w:val="24"/>
              </w:rPr>
            </w:pPr>
            <w:r>
              <w:rPr>
                <w:rFonts w:hint="eastAsia" w:ascii="宋体" w:hAnsi="宋体"/>
                <w:color w:val="auto"/>
                <w:sz w:val="24"/>
                <w:szCs w:val="24"/>
              </w:rPr>
              <w:t>使用温度：-40~80℃</w:t>
            </w:r>
          </w:p>
          <w:p>
            <w:pPr>
              <w:jc w:val="left"/>
              <w:rPr>
                <w:rFonts w:ascii="宋体" w:hAnsi="宋体"/>
                <w:color w:val="auto"/>
                <w:sz w:val="24"/>
                <w:szCs w:val="24"/>
              </w:rPr>
            </w:pPr>
            <w:r>
              <w:rPr>
                <w:rFonts w:hint="eastAsia" w:ascii="宋体" w:hAnsi="宋体"/>
                <w:color w:val="auto"/>
                <w:sz w:val="24"/>
                <w:szCs w:val="24"/>
              </w:rPr>
              <w:t>补偿温度：-20~60℃</w:t>
            </w:r>
          </w:p>
          <w:p>
            <w:pPr>
              <w:jc w:val="left"/>
              <w:rPr>
                <w:rFonts w:ascii="宋体" w:hAnsi="宋体"/>
                <w:color w:val="auto"/>
                <w:sz w:val="24"/>
                <w:szCs w:val="24"/>
              </w:rPr>
            </w:pPr>
            <w:r>
              <w:rPr>
                <w:rFonts w:hint="eastAsia" w:ascii="宋体" w:hAnsi="宋体"/>
                <w:color w:val="auto"/>
                <w:sz w:val="24"/>
                <w:szCs w:val="24"/>
              </w:rPr>
              <w:t>供电电压：ER34615H</w:t>
            </w:r>
          </w:p>
          <w:p>
            <w:pPr>
              <w:jc w:val="left"/>
              <w:rPr>
                <w:rFonts w:ascii="宋体" w:hAnsi="宋体"/>
                <w:color w:val="auto"/>
                <w:sz w:val="24"/>
                <w:szCs w:val="24"/>
              </w:rPr>
            </w:pPr>
            <w:r>
              <w:rPr>
                <w:rFonts w:hint="eastAsia" w:ascii="宋体" w:hAnsi="宋体"/>
                <w:color w:val="auto"/>
                <w:sz w:val="24"/>
                <w:szCs w:val="24"/>
              </w:rPr>
              <w:t>采样速率：默认3秒，1-60秒/次可设</w:t>
            </w:r>
          </w:p>
          <w:p>
            <w:pPr>
              <w:jc w:val="left"/>
              <w:rPr>
                <w:rFonts w:ascii="宋体" w:hAnsi="宋体"/>
                <w:color w:val="auto"/>
                <w:sz w:val="24"/>
                <w:szCs w:val="24"/>
              </w:rPr>
            </w:pPr>
            <w:r>
              <w:rPr>
                <w:rFonts w:hint="eastAsia" w:ascii="宋体" w:hAnsi="宋体"/>
                <w:color w:val="auto"/>
                <w:sz w:val="24"/>
                <w:szCs w:val="24"/>
              </w:rPr>
              <w:t>上发速率：10-9999种可设</w:t>
            </w:r>
          </w:p>
          <w:p>
            <w:pPr>
              <w:jc w:val="left"/>
              <w:rPr>
                <w:rFonts w:ascii="宋体" w:hAnsi="宋体"/>
                <w:color w:val="auto"/>
                <w:sz w:val="24"/>
                <w:szCs w:val="24"/>
              </w:rPr>
            </w:pPr>
            <w:r>
              <w:rPr>
                <w:rFonts w:hint="eastAsia" w:ascii="宋体" w:hAnsi="宋体"/>
                <w:color w:val="auto"/>
                <w:sz w:val="24"/>
                <w:szCs w:val="24"/>
              </w:rPr>
              <w:t>报警方式：低报警、高报警/波动报警</w:t>
            </w:r>
          </w:p>
          <w:p>
            <w:pPr>
              <w:jc w:val="left"/>
              <w:rPr>
                <w:rFonts w:ascii="宋体" w:hAnsi="宋体"/>
                <w:color w:val="auto"/>
                <w:sz w:val="24"/>
                <w:szCs w:val="24"/>
              </w:rPr>
            </w:pPr>
            <w:r>
              <w:rPr>
                <w:rFonts w:hint="eastAsia" w:ascii="宋体" w:hAnsi="宋体"/>
                <w:color w:val="auto"/>
                <w:sz w:val="24"/>
                <w:szCs w:val="24"/>
              </w:rPr>
              <w:t>报警值设定：量程的10%-90%</w:t>
            </w:r>
          </w:p>
        </w:tc>
        <w:tc>
          <w:tcPr>
            <w:tcW w:w="3373" w:type="dxa"/>
            <w:vAlign w:val="center"/>
          </w:tcPr>
          <w:p>
            <w:pPr>
              <w:jc w:val="left"/>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低液位报警</w:t>
            </w:r>
            <w:r>
              <w:rPr>
                <w:rFonts w:hint="eastAsia" w:ascii="宋体" w:hAnsi="宋体"/>
                <w:color w:val="auto"/>
                <w:sz w:val="24"/>
                <w:szCs w:val="24"/>
              </w:rPr>
              <w:t>，</w:t>
            </w:r>
            <w:r>
              <w:rPr>
                <w:rFonts w:ascii="宋体" w:hAnsi="宋体"/>
                <w:color w:val="auto"/>
                <w:sz w:val="24"/>
                <w:szCs w:val="24"/>
              </w:rPr>
              <w:t>即时上发报文</w:t>
            </w:r>
            <w:r>
              <w:rPr>
                <w:rFonts w:hint="eastAsia" w:ascii="宋体" w:hAnsi="宋体"/>
                <w:color w:val="auto"/>
                <w:sz w:val="24"/>
                <w:szCs w:val="24"/>
              </w:rPr>
              <w:t>、</w:t>
            </w:r>
            <w:r>
              <w:rPr>
                <w:rFonts w:ascii="宋体" w:hAnsi="宋体"/>
                <w:color w:val="auto"/>
                <w:sz w:val="24"/>
                <w:szCs w:val="24"/>
              </w:rPr>
              <w:t>液位波动报警</w:t>
            </w:r>
            <w:r>
              <w:rPr>
                <w:rFonts w:hint="eastAsia" w:ascii="宋体" w:hAnsi="宋体"/>
                <w:color w:val="auto"/>
                <w:sz w:val="24"/>
                <w:szCs w:val="24"/>
              </w:rPr>
              <w:t>、</w:t>
            </w:r>
            <w:r>
              <w:rPr>
                <w:rFonts w:ascii="宋体" w:hAnsi="宋体"/>
                <w:color w:val="auto"/>
                <w:sz w:val="24"/>
                <w:szCs w:val="24"/>
              </w:rPr>
              <w:t>蓝牙调试功能</w:t>
            </w:r>
          </w:p>
          <w:p>
            <w:pPr>
              <w:jc w:val="left"/>
              <w:rPr>
                <w:rFonts w:ascii="宋体" w:hAnsi="宋体"/>
                <w:color w:val="auto"/>
                <w:sz w:val="24"/>
                <w:szCs w:val="24"/>
              </w:rPr>
            </w:pPr>
            <w:r>
              <w:rPr>
                <w:rFonts w:hint="eastAsia" w:ascii="宋体" w:hAnsi="宋体"/>
                <w:color w:val="auto"/>
                <w:sz w:val="24"/>
                <w:szCs w:val="24"/>
              </w:rPr>
              <w:t>(2)远程配置或按键设置IP地址、报警点、上发频率等（GPRS/NB）</w:t>
            </w:r>
          </w:p>
          <w:p>
            <w:pPr>
              <w:jc w:val="left"/>
              <w:rPr>
                <w:rFonts w:ascii="宋体" w:hAnsi="宋体"/>
                <w:color w:val="auto"/>
                <w:sz w:val="24"/>
                <w:szCs w:val="24"/>
              </w:rPr>
            </w:pPr>
          </w:p>
        </w:tc>
      </w:tr>
    </w:tbl>
    <w:p>
      <w:pPr>
        <w:spacing w:line="360" w:lineRule="auto"/>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4、中标人负责设备的安装调试，并接入智慧消防平台，确保智慧消防系统正常运行。</w:t>
      </w:r>
    </w:p>
    <w:p>
      <w:pPr>
        <w:spacing w:line="360" w:lineRule="auto"/>
        <w:rPr>
          <w:rFonts w:ascii="宋体" w:hAnsi="宋体"/>
          <w:color w:val="auto"/>
          <w:sz w:val="24"/>
          <w:szCs w:val="24"/>
        </w:rPr>
      </w:pPr>
      <w:r>
        <w:rPr>
          <w:rFonts w:hint="eastAsia" w:ascii="宋体" w:hAnsi="宋体"/>
          <w:color w:val="auto"/>
          <w:sz w:val="24"/>
          <w:szCs w:val="24"/>
        </w:rPr>
        <w:t>5、▲由中标人自行联系台州市</w:t>
      </w:r>
      <w:r>
        <w:rPr>
          <w:rFonts w:hint="eastAsia" w:ascii="宋体" w:hAnsi="宋体"/>
          <w:color w:val="auto"/>
          <w:sz w:val="24"/>
          <w:szCs w:val="24"/>
          <w:lang w:eastAsia="zh-CN"/>
        </w:rPr>
        <w:t>行</w:t>
      </w:r>
      <w:r>
        <w:rPr>
          <w:rFonts w:hint="eastAsia" w:ascii="宋体" w:hAnsi="宋体"/>
          <w:color w:val="auto"/>
          <w:sz w:val="24"/>
          <w:szCs w:val="24"/>
        </w:rPr>
        <w:t>政1</w:t>
      </w:r>
      <w:r>
        <w:rPr>
          <w:rFonts w:ascii="宋体" w:hAnsi="宋体"/>
          <w:color w:val="auto"/>
          <w:sz w:val="24"/>
          <w:szCs w:val="24"/>
        </w:rPr>
        <w:t>#</w:t>
      </w:r>
      <w:r>
        <w:rPr>
          <w:rFonts w:hint="eastAsia" w:ascii="宋体" w:hAnsi="宋体"/>
          <w:color w:val="auto"/>
          <w:sz w:val="24"/>
          <w:szCs w:val="24"/>
        </w:rPr>
        <w:t>楼、2</w:t>
      </w:r>
      <w:r>
        <w:rPr>
          <w:rFonts w:ascii="宋体" w:hAnsi="宋体"/>
          <w:color w:val="auto"/>
          <w:sz w:val="24"/>
          <w:szCs w:val="24"/>
        </w:rPr>
        <w:t>#</w:t>
      </w:r>
      <w:r>
        <w:rPr>
          <w:rFonts w:hint="eastAsia" w:ascii="宋体" w:hAnsi="宋体"/>
          <w:color w:val="auto"/>
          <w:sz w:val="24"/>
          <w:szCs w:val="24"/>
        </w:rPr>
        <w:t>楼智慧消防平台建设原厂家，负责将1</w:t>
      </w:r>
      <w:r>
        <w:rPr>
          <w:rFonts w:ascii="宋体" w:hAnsi="宋体"/>
          <w:color w:val="auto"/>
          <w:sz w:val="24"/>
          <w:szCs w:val="24"/>
        </w:rPr>
        <w:t>#</w:t>
      </w:r>
      <w:r>
        <w:rPr>
          <w:rFonts w:hint="eastAsia" w:ascii="宋体" w:hAnsi="宋体"/>
          <w:color w:val="auto"/>
          <w:sz w:val="24"/>
          <w:szCs w:val="24"/>
        </w:rPr>
        <w:t>楼、2</w:t>
      </w:r>
      <w:r>
        <w:rPr>
          <w:rFonts w:ascii="宋体" w:hAnsi="宋体"/>
          <w:color w:val="auto"/>
          <w:sz w:val="24"/>
          <w:szCs w:val="24"/>
        </w:rPr>
        <w:t>#</w:t>
      </w:r>
      <w:r>
        <w:rPr>
          <w:rFonts w:hint="eastAsia" w:ascii="宋体" w:hAnsi="宋体"/>
          <w:color w:val="auto"/>
          <w:sz w:val="24"/>
          <w:szCs w:val="24"/>
        </w:rPr>
        <w:t>楼的智慧消防平台数据和3</w:t>
      </w:r>
      <w:r>
        <w:rPr>
          <w:rFonts w:ascii="宋体" w:hAnsi="宋体"/>
          <w:color w:val="auto"/>
          <w:sz w:val="24"/>
          <w:szCs w:val="24"/>
        </w:rPr>
        <w:t>#</w:t>
      </w:r>
      <w:r>
        <w:rPr>
          <w:rFonts w:hint="eastAsia" w:ascii="宋体" w:hAnsi="宋体"/>
          <w:color w:val="auto"/>
          <w:sz w:val="24"/>
          <w:szCs w:val="24"/>
        </w:rPr>
        <w:t>楼的智慧消防平台数据融合汇总。</w:t>
      </w:r>
    </w:p>
    <w:p>
      <w:pPr>
        <w:spacing w:line="360" w:lineRule="auto"/>
        <w:rPr>
          <w:rFonts w:ascii="宋体" w:hAnsi="宋体"/>
          <w:color w:val="auto"/>
          <w:sz w:val="24"/>
          <w:szCs w:val="24"/>
        </w:rPr>
      </w:pPr>
      <w:r>
        <w:rPr>
          <w:rFonts w:hint="eastAsia" w:ascii="宋体" w:hAnsi="宋体"/>
          <w:color w:val="auto"/>
          <w:sz w:val="24"/>
          <w:szCs w:val="24"/>
        </w:rPr>
        <w:t>6、▲本项目质保服务期为3年。在服务期内，中标人需提供7*24小时人工预警服务。</w:t>
      </w:r>
    </w:p>
    <w:p>
      <w:pPr>
        <w:spacing w:line="360" w:lineRule="auto"/>
        <w:rPr>
          <w:rFonts w:ascii="宋体" w:hAnsi="宋体"/>
          <w:color w:val="auto"/>
          <w:sz w:val="24"/>
          <w:szCs w:val="24"/>
        </w:rPr>
      </w:pPr>
      <w:r>
        <w:rPr>
          <w:rFonts w:hint="eastAsia" w:ascii="宋体" w:hAnsi="宋体"/>
          <w:color w:val="auto"/>
          <w:sz w:val="24"/>
          <w:szCs w:val="24"/>
        </w:rPr>
        <w:t>7、▲中标人在接到业主方通知后即到现场进行维修（</w:t>
      </w:r>
      <w:r>
        <w:rPr>
          <w:rFonts w:hint="eastAsia" w:ascii="宋体" w:hAnsi="宋体"/>
          <w:b/>
          <w:bCs/>
          <w:color w:val="auto"/>
          <w:sz w:val="24"/>
          <w:szCs w:val="24"/>
        </w:rPr>
        <w:t>响应时间不超过2小时</w:t>
      </w:r>
      <w:r>
        <w:rPr>
          <w:rFonts w:hint="eastAsia" w:ascii="宋体" w:hAnsi="宋体"/>
          <w:color w:val="auto"/>
          <w:sz w:val="24"/>
          <w:szCs w:val="24"/>
        </w:rPr>
        <w:t>）。</w:t>
      </w:r>
    </w:p>
    <w:p>
      <w:pPr>
        <w:spacing w:line="360" w:lineRule="auto"/>
        <w:outlineLvl w:val="1"/>
        <w:rPr>
          <w:rFonts w:ascii="宋体" w:hAnsi="宋体"/>
          <w:b/>
          <w:color w:val="auto"/>
          <w:sz w:val="24"/>
          <w:szCs w:val="24"/>
        </w:rPr>
      </w:pPr>
      <w:r>
        <w:rPr>
          <w:rFonts w:hint="eastAsia" w:ascii="宋体" w:hAnsi="宋体"/>
          <w:b/>
          <w:color w:val="auto"/>
          <w:sz w:val="24"/>
          <w:szCs w:val="24"/>
        </w:rPr>
        <w:t>三、商务需求</w:t>
      </w:r>
    </w:p>
    <w:p>
      <w:pPr>
        <w:spacing w:line="360" w:lineRule="auto"/>
        <w:rPr>
          <w:rFonts w:ascii="宋体" w:hAnsi="宋体"/>
          <w:color w:val="auto"/>
          <w:sz w:val="24"/>
          <w:szCs w:val="24"/>
        </w:rPr>
      </w:pPr>
      <w:r>
        <w:rPr>
          <w:rFonts w:hint="eastAsia" w:ascii="宋体" w:hAnsi="宋体"/>
          <w:color w:val="auto"/>
          <w:sz w:val="24"/>
          <w:szCs w:val="24"/>
        </w:rPr>
        <w:t>（一）谈判响应方提供的服务质量，必须符合谈判文件及其谈判文件规定的要求，如有不符，造成的损失由投标人承担。</w:t>
      </w:r>
    </w:p>
    <w:p>
      <w:pPr>
        <w:spacing w:line="360" w:lineRule="auto"/>
        <w:rPr>
          <w:rFonts w:ascii="宋体" w:hAnsi="宋体"/>
          <w:color w:val="auto"/>
          <w:sz w:val="24"/>
          <w:szCs w:val="24"/>
        </w:rPr>
      </w:pPr>
      <w:r>
        <w:rPr>
          <w:rFonts w:hint="eastAsia" w:ascii="宋体" w:hAnsi="宋体"/>
          <w:color w:val="auto"/>
          <w:sz w:val="24"/>
          <w:szCs w:val="24"/>
        </w:rPr>
        <w:t>（二）谈判响应方须有能力提供完善的服务（包括技术人员、响应时间等）。</w:t>
      </w:r>
    </w:p>
    <w:p>
      <w:pPr>
        <w:spacing w:line="360" w:lineRule="auto"/>
        <w:rPr>
          <w:rFonts w:ascii="宋体" w:hAnsi="宋体"/>
          <w:color w:val="auto"/>
          <w:sz w:val="24"/>
          <w:szCs w:val="24"/>
        </w:rPr>
      </w:pPr>
      <w:r>
        <w:rPr>
          <w:rFonts w:hint="eastAsia" w:ascii="宋体" w:hAnsi="宋体"/>
          <w:color w:val="auto"/>
          <w:sz w:val="24"/>
          <w:szCs w:val="24"/>
        </w:rPr>
        <w:t>（三）谈判响应方应为本次工作的全部人员和第三方责任人员设备、设施等办理保险并承担全部风险责任，所需的费用包含在投标报价中。</w:t>
      </w:r>
    </w:p>
    <w:p>
      <w:pPr>
        <w:spacing w:line="360" w:lineRule="auto"/>
        <w:rPr>
          <w:rFonts w:ascii="宋体" w:hAnsi="宋体"/>
          <w:color w:val="auto"/>
          <w:sz w:val="24"/>
          <w:szCs w:val="24"/>
        </w:rPr>
      </w:pPr>
      <w:r>
        <w:rPr>
          <w:rFonts w:hint="eastAsia" w:ascii="宋体" w:hAnsi="宋体"/>
          <w:color w:val="auto"/>
          <w:sz w:val="24"/>
          <w:szCs w:val="24"/>
        </w:rPr>
        <w:t>（四）履约保证金：中标人领取中标通知书后，合同签订前，中标方向招标方提供中标总金额的5%的履约保证金。待项目完成验收合格后15个工作日内，退还履约保证金；</w:t>
      </w:r>
    </w:p>
    <w:p>
      <w:pPr>
        <w:spacing w:line="360" w:lineRule="auto"/>
        <w:rPr>
          <w:rFonts w:ascii="宋体" w:hAnsi="宋体"/>
          <w:color w:val="auto"/>
          <w:sz w:val="24"/>
          <w:szCs w:val="24"/>
        </w:rPr>
      </w:pPr>
      <w:r>
        <w:rPr>
          <w:rFonts w:hint="eastAsia" w:ascii="宋体" w:hAnsi="宋体"/>
          <w:color w:val="auto"/>
          <w:sz w:val="24"/>
          <w:szCs w:val="24"/>
        </w:rPr>
        <w:t>（五）付款方式：合同签订后15个工作日内支付合同总价的50%，验收合格后支付剩余50%。</w:t>
      </w:r>
    </w:p>
    <w:p>
      <w:pPr>
        <w:spacing w:line="360" w:lineRule="auto"/>
        <w:outlineLvl w:val="1"/>
        <w:rPr>
          <w:rFonts w:ascii="宋体" w:hAnsi="宋体"/>
          <w:b/>
          <w:color w:val="auto"/>
          <w:sz w:val="24"/>
          <w:szCs w:val="24"/>
        </w:rPr>
      </w:pPr>
      <w:r>
        <w:rPr>
          <w:rFonts w:hint="eastAsia" w:ascii="宋体" w:hAnsi="宋体"/>
          <w:b/>
          <w:color w:val="auto"/>
          <w:sz w:val="24"/>
          <w:szCs w:val="24"/>
        </w:rPr>
        <w:t>四、相关说明</w:t>
      </w:r>
    </w:p>
    <w:p>
      <w:pPr>
        <w:spacing w:line="360" w:lineRule="auto"/>
        <w:rPr>
          <w:rFonts w:ascii="宋体" w:hAnsi="宋体"/>
          <w:color w:val="auto"/>
          <w:sz w:val="24"/>
          <w:szCs w:val="24"/>
        </w:rPr>
      </w:pPr>
      <w:r>
        <w:rPr>
          <w:rFonts w:hint="eastAsia" w:ascii="宋体" w:hAnsi="宋体"/>
          <w:color w:val="auto"/>
          <w:sz w:val="24"/>
          <w:szCs w:val="24"/>
        </w:rPr>
        <w:t>1、谈判响应文件份数：按照谈判采购文件要求的顺序装订，并对商务、技术响应文件正、副本各自密封，各需正本壹份，副本三份，正本为原件，副本是正本的复印件；</w:t>
      </w:r>
    </w:p>
    <w:p>
      <w:pPr>
        <w:spacing w:line="360" w:lineRule="auto"/>
        <w:rPr>
          <w:rFonts w:ascii="宋体" w:hAnsi="宋体"/>
          <w:color w:val="auto"/>
          <w:sz w:val="24"/>
          <w:szCs w:val="24"/>
        </w:rPr>
      </w:pPr>
      <w:r>
        <w:rPr>
          <w:rFonts w:hint="eastAsia" w:ascii="宋体" w:hAnsi="宋体"/>
          <w:color w:val="auto"/>
          <w:sz w:val="24"/>
          <w:szCs w:val="24"/>
        </w:rPr>
        <w:t>2、现场勘察：领取标书后，投标人自行到现场勘察。</w:t>
      </w:r>
    </w:p>
    <w:p>
      <w:pPr>
        <w:widowControl/>
        <w:jc w:val="left"/>
        <w:rPr>
          <w:rFonts w:ascii="宋体" w:hAnsi="宋体"/>
          <w:color w:val="auto"/>
          <w:sz w:val="24"/>
          <w:szCs w:val="24"/>
        </w:rPr>
      </w:pPr>
      <w:r>
        <w:rPr>
          <w:rFonts w:ascii="宋体" w:hAnsi="宋体"/>
          <w:color w:val="auto"/>
          <w:sz w:val="24"/>
          <w:szCs w:val="24"/>
        </w:rPr>
        <w:br w:type="page"/>
      </w:r>
    </w:p>
    <w:p>
      <w:pPr>
        <w:spacing w:line="360" w:lineRule="auto"/>
        <w:jc w:val="center"/>
        <w:outlineLvl w:val="0"/>
        <w:rPr>
          <w:rFonts w:ascii="宋体" w:hAnsi="宋体"/>
          <w:b/>
          <w:color w:val="auto"/>
          <w:sz w:val="36"/>
          <w:szCs w:val="36"/>
        </w:rPr>
      </w:pPr>
      <w:r>
        <w:rPr>
          <w:rFonts w:hint="eastAsia" w:ascii="宋体" w:hAnsi="宋体"/>
          <w:b/>
          <w:color w:val="auto"/>
          <w:sz w:val="36"/>
          <w:szCs w:val="36"/>
        </w:rPr>
        <w:t>第三章　供应商须知</w:t>
      </w:r>
    </w:p>
    <w:p>
      <w:pPr>
        <w:spacing w:line="360" w:lineRule="auto"/>
        <w:jc w:val="center"/>
        <w:outlineLvl w:val="1"/>
        <w:rPr>
          <w:rFonts w:ascii="宋体" w:hAnsi="宋体"/>
          <w:b/>
          <w:color w:val="auto"/>
          <w:sz w:val="24"/>
          <w:szCs w:val="24"/>
        </w:rPr>
      </w:pPr>
      <w:r>
        <w:rPr>
          <w:rFonts w:hint="eastAsia" w:ascii="宋体" w:hAnsi="宋体"/>
          <w:b/>
          <w:color w:val="auto"/>
          <w:sz w:val="24"/>
          <w:szCs w:val="24"/>
        </w:rPr>
        <w:t>前附表</w:t>
      </w:r>
    </w:p>
    <w:tbl>
      <w:tblPr>
        <w:tblStyle w:val="5"/>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780"/>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序号</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项    目</w:t>
            </w:r>
          </w:p>
        </w:tc>
        <w:tc>
          <w:tcPr>
            <w:tcW w:w="5303"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1</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供应商特定资格要求</w:t>
            </w:r>
          </w:p>
        </w:tc>
        <w:tc>
          <w:tcPr>
            <w:tcW w:w="5303"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宋体" w:hAnsi="宋体"/>
                <w:color w:val="auto"/>
                <w:sz w:val="24"/>
                <w:szCs w:val="24"/>
              </w:rPr>
            </w:pPr>
            <w:r>
              <w:rPr>
                <w:rFonts w:hint="eastAsia" w:ascii="宋体" w:hAnsi="宋体"/>
                <w:color w:val="auto"/>
                <w:sz w:val="24"/>
                <w:szCs w:val="24"/>
              </w:rPr>
              <w:t>符合竞争性谈判公告资格要求的供应商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2</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答疑会或现场踏勘</w:t>
            </w:r>
          </w:p>
        </w:tc>
        <w:tc>
          <w:tcPr>
            <w:tcW w:w="5303"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宋体" w:hAnsi="宋体"/>
                <w:color w:val="auto"/>
                <w:sz w:val="24"/>
                <w:szCs w:val="24"/>
              </w:rPr>
            </w:pPr>
            <w:r>
              <w:rPr>
                <w:rFonts w:hint="eastAsia" w:ascii="宋体" w:hAnsi="宋体"/>
                <w:bCs/>
                <w:color w:val="auto"/>
                <w:sz w:val="24"/>
                <w:szCs w:val="24"/>
              </w:rPr>
              <w:t>本项目不统一组织现场踏勘，供应商如需现场踏勘请与采购人代表联系。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3</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谈判响应文件包装要求</w:t>
            </w:r>
          </w:p>
        </w:tc>
        <w:tc>
          <w:tcPr>
            <w:tcW w:w="5303"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宋体" w:hAnsi="宋体"/>
                <w:color w:val="auto"/>
                <w:sz w:val="24"/>
                <w:szCs w:val="24"/>
              </w:rPr>
            </w:pPr>
            <w:r>
              <w:rPr>
                <w:rFonts w:hint="eastAsia" w:ascii="宋体" w:hAnsi="宋体"/>
                <w:bCs/>
                <w:color w:val="auto"/>
                <w:sz w:val="24"/>
                <w:szCs w:val="24"/>
              </w:rPr>
              <w:t>谈判响应文件共</w:t>
            </w:r>
            <w:r>
              <w:rPr>
                <w:rFonts w:hint="eastAsia" w:ascii="宋体" w:hAnsi="宋体"/>
                <w:bCs/>
                <w:color w:val="auto"/>
                <w:sz w:val="24"/>
                <w:szCs w:val="24"/>
                <w:u w:val="single"/>
              </w:rPr>
              <w:t>4</w:t>
            </w:r>
            <w:r>
              <w:rPr>
                <w:rFonts w:hint="eastAsia" w:ascii="宋体" w:hAnsi="宋体"/>
                <w:bCs/>
                <w:color w:val="auto"/>
                <w:sz w:val="24"/>
                <w:szCs w:val="24"/>
              </w:rPr>
              <w:t>份（</w:t>
            </w:r>
            <w:r>
              <w:rPr>
                <w:rFonts w:hint="eastAsia" w:ascii="宋体" w:hAnsi="宋体"/>
                <w:bCs/>
                <w:color w:val="auto"/>
                <w:sz w:val="24"/>
                <w:szCs w:val="24"/>
                <w:u w:val="single"/>
              </w:rPr>
              <w:t>1</w:t>
            </w:r>
            <w:r>
              <w:rPr>
                <w:rFonts w:hint="eastAsia" w:ascii="宋体" w:hAnsi="宋体"/>
                <w:bCs/>
                <w:color w:val="auto"/>
                <w:sz w:val="24"/>
                <w:szCs w:val="24"/>
              </w:rPr>
              <w:t>正本</w:t>
            </w:r>
            <w:r>
              <w:rPr>
                <w:rFonts w:hint="eastAsia" w:ascii="宋体" w:hAnsi="宋体"/>
                <w:bCs/>
                <w:color w:val="auto"/>
                <w:sz w:val="24"/>
                <w:szCs w:val="24"/>
                <w:u w:val="single"/>
              </w:rPr>
              <w:t>3</w:t>
            </w:r>
            <w:r>
              <w:rPr>
                <w:rFonts w:hint="eastAsia" w:ascii="宋体" w:hAnsi="宋体"/>
                <w:bCs/>
                <w:color w:val="auto"/>
                <w:sz w:val="24"/>
                <w:szCs w:val="24"/>
              </w:rPr>
              <w:t>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4</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谈判响应文件有效期</w:t>
            </w:r>
          </w:p>
        </w:tc>
        <w:tc>
          <w:tcPr>
            <w:tcW w:w="5303"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宋体" w:hAnsi="宋体"/>
                <w:color w:val="auto"/>
                <w:sz w:val="24"/>
                <w:szCs w:val="24"/>
              </w:rPr>
            </w:pPr>
            <w:r>
              <w:rPr>
                <w:rFonts w:hint="eastAsia" w:ascii="宋体" w:hAnsi="宋体"/>
                <w:color w:val="auto"/>
                <w:sz w:val="24"/>
                <w:szCs w:val="24"/>
              </w:rPr>
              <w:t>谈判响应有效期为谈判后60天，谈判响应有效期从提交谈判响应文件的截止之日起算。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5</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谈判响应文件递交</w:t>
            </w:r>
          </w:p>
        </w:tc>
        <w:tc>
          <w:tcPr>
            <w:tcW w:w="5303" w:type="dxa"/>
            <w:tcBorders>
              <w:top w:val="single" w:color="auto" w:sz="4" w:space="0"/>
              <w:left w:val="single" w:color="auto" w:sz="4" w:space="0"/>
              <w:bottom w:val="single" w:color="auto" w:sz="4" w:space="0"/>
              <w:right w:val="single" w:color="auto" w:sz="4" w:space="0"/>
            </w:tcBorders>
            <w:vAlign w:val="center"/>
          </w:tcPr>
          <w:p>
            <w:pPr>
              <w:jc w:val="left"/>
              <w:outlineLvl w:val="0"/>
              <w:rPr>
                <w:rFonts w:hint="default" w:ascii="宋体" w:hAnsi="宋体" w:eastAsiaTheme="minorEastAsia"/>
                <w:color w:val="auto"/>
                <w:sz w:val="24"/>
                <w:szCs w:val="24"/>
                <w:lang w:val="en-US" w:eastAsia="zh-CN"/>
              </w:rPr>
            </w:pPr>
            <w:r>
              <w:rPr>
                <w:rFonts w:hint="eastAsia" w:ascii="宋体" w:hAnsi="宋体"/>
                <w:color w:val="auto"/>
                <w:sz w:val="24"/>
                <w:szCs w:val="24"/>
              </w:rPr>
              <w:t>截止时间：</w:t>
            </w:r>
            <w:r>
              <w:rPr>
                <w:rFonts w:hint="eastAsia" w:ascii="宋体" w:hAnsi="宋体"/>
                <w:color w:val="auto"/>
                <w:sz w:val="24"/>
                <w:szCs w:val="24"/>
                <w:lang w:val="en-US" w:eastAsia="zh-CN"/>
              </w:rPr>
              <w:t>2021年11月26日9时</w:t>
            </w:r>
          </w:p>
          <w:p>
            <w:pPr>
              <w:jc w:val="left"/>
              <w:outlineLvl w:val="0"/>
              <w:rPr>
                <w:rFonts w:hint="default" w:ascii="宋体" w:hAnsi="宋体" w:eastAsiaTheme="minorEastAsia"/>
                <w:color w:val="auto"/>
                <w:sz w:val="24"/>
                <w:szCs w:val="24"/>
                <w:lang w:val="en-US" w:eastAsia="zh-CN"/>
              </w:rPr>
            </w:pPr>
            <w:r>
              <w:rPr>
                <w:rFonts w:hint="eastAsia" w:ascii="宋体" w:hAnsi="宋体"/>
                <w:color w:val="auto"/>
                <w:sz w:val="24"/>
                <w:szCs w:val="24"/>
              </w:rPr>
              <w:t>递交地点：</w:t>
            </w:r>
            <w:r>
              <w:rPr>
                <w:rFonts w:ascii="宋体" w:hAnsi="宋体"/>
                <w:color w:val="auto"/>
                <w:sz w:val="24"/>
                <w:szCs w:val="24"/>
              </w:rPr>
              <w:t xml:space="preserve"> </w:t>
            </w:r>
            <w:r>
              <w:rPr>
                <w:rFonts w:hint="eastAsia" w:ascii="宋体" w:hAnsi="宋体"/>
                <w:color w:val="auto"/>
                <w:sz w:val="24"/>
                <w:szCs w:val="24"/>
                <w:lang w:eastAsia="zh-CN"/>
              </w:rPr>
              <w:t>台州市行政府大楼三楼</w:t>
            </w:r>
            <w:r>
              <w:rPr>
                <w:rFonts w:hint="eastAsia" w:ascii="宋体" w:hAnsi="宋体"/>
                <w:color w:val="auto"/>
                <w:sz w:val="24"/>
                <w:szCs w:val="24"/>
                <w:lang w:val="en-US" w:eastAsia="zh-CN"/>
              </w:rPr>
              <w:t>322室</w:t>
            </w:r>
          </w:p>
          <w:p>
            <w:pPr>
              <w:jc w:val="left"/>
              <w:outlineLvl w:val="0"/>
              <w:rPr>
                <w:rFonts w:ascii="宋体" w:hAnsi="宋体"/>
                <w:color w:val="auto"/>
                <w:sz w:val="24"/>
                <w:szCs w:val="24"/>
              </w:rPr>
            </w:pPr>
            <w:r>
              <w:rPr>
                <w:rFonts w:hint="eastAsia" w:ascii="宋体" w:hAnsi="宋体"/>
                <w:color w:val="auto"/>
                <w:sz w:val="24"/>
                <w:szCs w:val="24"/>
              </w:rPr>
              <w:t>逾期送达的谈判响应文件恕不接受。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6</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谈判时间及地点</w:t>
            </w:r>
          </w:p>
        </w:tc>
        <w:tc>
          <w:tcPr>
            <w:tcW w:w="530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Theme="minorEastAsia"/>
                <w:color w:val="auto"/>
                <w:sz w:val="24"/>
                <w:szCs w:val="24"/>
                <w:lang w:val="en-US" w:eastAsia="zh-CN"/>
              </w:rPr>
            </w:pPr>
            <w:r>
              <w:rPr>
                <w:rFonts w:hint="eastAsia" w:ascii="宋体" w:hAnsi="宋体"/>
                <w:color w:val="auto"/>
                <w:sz w:val="24"/>
                <w:szCs w:val="24"/>
              </w:rPr>
              <w:t>时间：</w:t>
            </w:r>
            <w:r>
              <w:rPr>
                <w:rFonts w:ascii="宋体" w:hAnsi="宋体"/>
                <w:color w:val="auto"/>
                <w:sz w:val="24"/>
                <w:szCs w:val="24"/>
              </w:rPr>
              <w:t xml:space="preserve"> </w:t>
            </w:r>
            <w:r>
              <w:rPr>
                <w:rFonts w:hint="eastAsia" w:ascii="宋体" w:hAnsi="宋体"/>
                <w:color w:val="auto"/>
                <w:sz w:val="24"/>
                <w:szCs w:val="24"/>
                <w:lang w:val="en-US" w:eastAsia="zh-CN"/>
              </w:rPr>
              <w:t>2021年11月26日</w:t>
            </w:r>
          </w:p>
          <w:p>
            <w:pPr>
              <w:jc w:val="left"/>
              <w:outlineLvl w:val="0"/>
              <w:rPr>
                <w:rFonts w:ascii="宋体" w:hAnsi="宋体"/>
                <w:color w:val="auto"/>
                <w:sz w:val="24"/>
                <w:szCs w:val="24"/>
              </w:rPr>
            </w:pPr>
            <w:r>
              <w:rPr>
                <w:rFonts w:hint="eastAsia" w:ascii="宋体" w:hAnsi="宋体"/>
                <w:color w:val="auto"/>
                <w:sz w:val="24"/>
                <w:szCs w:val="24"/>
              </w:rPr>
              <w:t>地点：</w:t>
            </w:r>
            <w:r>
              <w:rPr>
                <w:rFonts w:ascii="宋体" w:hAnsi="宋体"/>
                <w:color w:val="auto"/>
                <w:sz w:val="24"/>
                <w:szCs w:val="24"/>
              </w:rPr>
              <w:t xml:space="preserve"> </w:t>
            </w:r>
            <w:r>
              <w:rPr>
                <w:rFonts w:hint="eastAsia" w:ascii="宋体" w:hAnsi="宋体"/>
                <w:color w:val="auto"/>
                <w:sz w:val="24"/>
                <w:szCs w:val="24"/>
                <w:lang w:eastAsia="zh-CN"/>
              </w:rPr>
              <w:t>台州市行政大楼三楼</w:t>
            </w:r>
            <w:r>
              <w:rPr>
                <w:rFonts w:hint="eastAsia" w:ascii="宋体" w:hAnsi="宋体"/>
                <w:color w:val="auto"/>
                <w:sz w:val="24"/>
                <w:szCs w:val="24"/>
                <w:lang w:val="en-US" w:eastAsia="zh-CN"/>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7</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谈判保证金</w:t>
            </w:r>
          </w:p>
        </w:tc>
        <w:tc>
          <w:tcPr>
            <w:tcW w:w="5303"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宋体" w:hAnsi="宋体"/>
                <w:color w:val="auto"/>
                <w:sz w:val="24"/>
                <w:szCs w:val="24"/>
              </w:rPr>
            </w:pPr>
            <w:r>
              <w:rPr>
                <w:rFonts w:hint="eastAsia" w:ascii="宋体" w:hAnsi="宋体"/>
                <w:color w:val="auto"/>
                <w:sz w:val="24"/>
                <w:szCs w:val="24"/>
              </w:rPr>
              <w:t>本项目无需提交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8</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履约保证金</w:t>
            </w:r>
          </w:p>
        </w:tc>
        <w:tc>
          <w:tcPr>
            <w:tcW w:w="5303"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宋体" w:hAnsi="宋体"/>
                <w:color w:val="auto"/>
                <w:sz w:val="24"/>
                <w:szCs w:val="24"/>
              </w:rPr>
            </w:pPr>
            <w:r>
              <w:rPr>
                <w:rFonts w:hint="eastAsia" w:ascii="宋体" w:hAnsi="宋体"/>
                <w:color w:val="auto"/>
                <w:sz w:val="24"/>
                <w:szCs w:val="24"/>
              </w:rPr>
              <w:t>提供合同金额5%的履约保证金，履约保证金缴纳方式：银行转帐。履约保证金在服务期满后15个工作日内无息退还。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9</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bCs/>
                <w:color w:val="auto"/>
                <w:sz w:val="24"/>
                <w:szCs w:val="24"/>
              </w:rPr>
              <w:t>▲最高限价</w:t>
            </w:r>
          </w:p>
        </w:tc>
        <w:tc>
          <w:tcPr>
            <w:tcW w:w="5303"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宋体" w:hAnsi="宋体"/>
                <w:color w:val="auto"/>
                <w:sz w:val="24"/>
                <w:szCs w:val="24"/>
              </w:rPr>
            </w:pPr>
            <w:r>
              <w:rPr>
                <w:rFonts w:hint="eastAsia" w:ascii="宋体" w:hAnsi="宋体"/>
                <w:bCs/>
                <w:color w:val="auto"/>
                <w:sz w:val="24"/>
                <w:szCs w:val="24"/>
              </w:rPr>
              <w:t>最高限价为</w:t>
            </w:r>
            <w:r>
              <w:rPr>
                <w:rFonts w:hint="eastAsia" w:ascii="宋体" w:hAnsi="宋体"/>
                <w:b/>
                <w:color w:val="auto"/>
                <w:sz w:val="24"/>
                <w:szCs w:val="24"/>
                <w:u w:val="single"/>
              </w:rPr>
              <w:t>90000</w:t>
            </w:r>
            <w:r>
              <w:rPr>
                <w:rFonts w:hint="eastAsia" w:ascii="宋体" w:hAnsi="宋体"/>
                <w:b/>
                <w:color w:val="auto"/>
                <w:sz w:val="24"/>
                <w:szCs w:val="24"/>
              </w:rPr>
              <w:t xml:space="preserve">元 </w:t>
            </w:r>
            <w:r>
              <w:rPr>
                <w:rFonts w:hint="eastAsia" w:ascii="宋体" w:hAnsi="宋体"/>
                <w:bCs/>
                <w:color w:val="auto"/>
                <w:sz w:val="24"/>
                <w:szCs w:val="24"/>
              </w:rPr>
              <w:t xml:space="preserve">。如供应商的报价超过最高限价，其响应文件作无效标处理。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10</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实质性条款</w:t>
            </w:r>
          </w:p>
        </w:tc>
        <w:tc>
          <w:tcPr>
            <w:tcW w:w="5303"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宋体" w:hAnsi="宋体"/>
                <w:color w:val="auto"/>
                <w:sz w:val="24"/>
                <w:szCs w:val="24"/>
              </w:rPr>
            </w:pPr>
            <w:r>
              <w:rPr>
                <w:rFonts w:hint="eastAsia" w:ascii="宋体" w:hAnsi="宋体"/>
                <w:color w:val="auto"/>
                <w:sz w:val="24"/>
                <w:szCs w:val="24"/>
              </w:rPr>
              <w:t>带“</w:t>
            </w:r>
            <w:r>
              <w:rPr>
                <w:rFonts w:hint="eastAsia" w:ascii="宋体" w:hAnsi="宋体"/>
                <w:bCs/>
                <w:color w:val="auto"/>
                <w:sz w:val="24"/>
                <w:szCs w:val="24"/>
              </w:rPr>
              <w:t>▲”的条款是实质性条款，谈判</w:t>
            </w:r>
            <w:r>
              <w:rPr>
                <w:rFonts w:hint="eastAsia" w:ascii="宋体" w:hAnsi="宋体"/>
                <w:color w:val="auto"/>
                <w:sz w:val="24"/>
                <w:szCs w:val="24"/>
              </w:rPr>
              <w:t>响应</w:t>
            </w:r>
            <w:r>
              <w:rPr>
                <w:rFonts w:hint="eastAsia" w:ascii="宋体" w:hAnsi="宋体"/>
                <w:bCs/>
                <w:color w:val="auto"/>
                <w:sz w:val="24"/>
                <w:szCs w:val="24"/>
              </w:rPr>
              <w:t>文件须作出实质性响应，否则终止谈判。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11</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color w:val="auto"/>
                <w:sz w:val="24"/>
                <w:szCs w:val="24"/>
              </w:rPr>
            </w:pPr>
            <w:r>
              <w:rPr>
                <w:rFonts w:hint="eastAsia" w:ascii="宋体" w:hAnsi="宋体"/>
                <w:color w:val="auto"/>
                <w:sz w:val="24"/>
                <w:szCs w:val="24"/>
              </w:rPr>
              <w:t>解释权</w:t>
            </w:r>
          </w:p>
        </w:tc>
        <w:tc>
          <w:tcPr>
            <w:tcW w:w="5303"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宋体" w:hAnsi="宋体"/>
                <w:color w:val="auto"/>
                <w:sz w:val="24"/>
                <w:szCs w:val="24"/>
              </w:rPr>
            </w:pPr>
            <w:r>
              <w:rPr>
                <w:rFonts w:hint="eastAsia" w:ascii="宋体" w:hAnsi="宋体"/>
                <w:color w:val="auto"/>
                <w:sz w:val="24"/>
                <w:szCs w:val="24"/>
              </w:rPr>
              <w:t>本谈判文件解释权属于采购人</w:t>
            </w:r>
          </w:p>
        </w:tc>
      </w:tr>
    </w:tbl>
    <w:p>
      <w:pPr>
        <w:rPr>
          <w:color w:val="auto"/>
        </w:rPr>
      </w:pPr>
    </w:p>
    <w:p>
      <w:pPr>
        <w:spacing w:line="360" w:lineRule="auto"/>
        <w:outlineLvl w:val="1"/>
        <w:rPr>
          <w:rFonts w:ascii="宋体" w:hAnsi="宋体"/>
          <w:b/>
          <w:color w:val="auto"/>
          <w:sz w:val="24"/>
          <w:szCs w:val="24"/>
        </w:rPr>
      </w:pPr>
      <w:r>
        <w:rPr>
          <w:rFonts w:hint="eastAsia" w:ascii="宋体" w:hAnsi="宋体"/>
          <w:b/>
          <w:color w:val="auto"/>
          <w:sz w:val="24"/>
          <w:szCs w:val="24"/>
        </w:rPr>
        <w:t>一、总则</w:t>
      </w:r>
    </w:p>
    <w:bookmarkEnd w:id="1"/>
    <w:p>
      <w:pPr>
        <w:spacing w:line="360" w:lineRule="auto"/>
        <w:rPr>
          <w:rFonts w:ascii="宋体" w:hAnsi="宋体"/>
          <w:b/>
          <w:color w:val="auto"/>
          <w:sz w:val="24"/>
          <w:szCs w:val="24"/>
        </w:rPr>
      </w:pPr>
      <w:r>
        <w:rPr>
          <w:rFonts w:hint="eastAsia" w:ascii="宋体" w:hAnsi="宋体"/>
          <w:b/>
          <w:color w:val="auto"/>
          <w:sz w:val="24"/>
          <w:szCs w:val="24"/>
        </w:rPr>
        <w:t>（一）谈判费用</w:t>
      </w:r>
    </w:p>
    <w:p>
      <w:pPr>
        <w:spacing w:line="360" w:lineRule="auto"/>
        <w:ind w:right="-212" w:rightChars="-101" w:firstLine="480" w:firstLineChars="200"/>
        <w:rPr>
          <w:rFonts w:ascii="宋体" w:hAnsi="宋体"/>
          <w:color w:val="auto"/>
          <w:sz w:val="24"/>
          <w:szCs w:val="24"/>
        </w:rPr>
      </w:pPr>
      <w:r>
        <w:rPr>
          <w:rFonts w:hint="eastAsia" w:ascii="宋体" w:hAnsi="宋体"/>
          <w:color w:val="auto"/>
          <w:sz w:val="24"/>
          <w:szCs w:val="24"/>
        </w:rPr>
        <w:t>无论竞争性谈判过程和结果如何，谈判响应方自行承担与谈判响应有关的全部费用</w:t>
      </w:r>
      <w:r>
        <w:rPr>
          <w:rFonts w:ascii="宋体" w:hAnsi="宋体"/>
          <w:color w:val="auto"/>
          <w:sz w:val="24"/>
          <w:szCs w:val="24"/>
        </w:rPr>
        <w:t>（</w:t>
      </w:r>
      <w:r>
        <w:rPr>
          <w:rFonts w:hint="eastAsia" w:ascii="宋体" w:hAnsi="宋体"/>
          <w:color w:val="auto"/>
          <w:sz w:val="24"/>
          <w:szCs w:val="24"/>
        </w:rPr>
        <w:t>谈判</w:t>
      </w:r>
      <w:r>
        <w:rPr>
          <w:rFonts w:ascii="宋体" w:hAnsi="宋体"/>
          <w:color w:val="auto"/>
          <w:sz w:val="24"/>
          <w:szCs w:val="24"/>
        </w:rPr>
        <w:t>文件有相关规定除外）</w:t>
      </w:r>
      <w:r>
        <w:rPr>
          <w:rFonts w:hint="eastAsia" w:ascii="宋体" w:hAnsi="宋体"/>
          <w:color w:val="auto"/>
          <w:sz w:val="24"/>
          <w:szCs w:val="24"/>
        </w:rPr>
        <w:t>。</w:t>
      </w:r>
    </w:p>
    <w:p>
      <w:pPr>
        <w:spacing w:line="360" w:lineRule="auto"/>
        <w:rPr>
          <w:rFonts w:ascii="宋体" w:hAnsi="宋体"/>
          <w:b/>
          <w:color w:val="auto"/>
          <w:sz w:val="24"/>
          <w:szCs w:val="24"/>
        </w:rPr>
      </w:pPr>
      <w:r>
        <w:rPr>
          <w:rFonts w:hint="eastAsia" w:ascii="宋体" w:hAnsi="宋体"/>
          <w:b/>
          <w:color w:val="auto"/>
          <w:sz w:val="24"/>
          <w:szCs w:val="24"/>
        </w:rPr>
        <w:t>（二）特别说明</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1.供应商谈判所使用的资格、信誉、荣誉、业绩与企业认证必须为本法人所拥有。供应商谈判所使用的采购项目实施人员必须为本法人员工（指必须为本法人或控股公司正式员工）。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供应商所标产品除谈判文件中明确规定要求“提供官网截图或相应检测报告的证明材料”以外，所有技术参数描述均以谈判文件为准。谈判供应商对所投产品技术参数的真实性承担法律责任。项目谈判结束后、质疑期限内，如有质疑供应商认为成交供应商所投产品、谈判文件技术参数与谈判需求存在重大偏离、错误、甚至造假的情况，应提供具体有效的证明材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3.供应商在谈判活动中提供任何虚假材料,其响应无效，并报监管部门查处；成交后发现的,</w:t>
      </w:r>
      <w:r>
        <w:rPr>
          <w:rFonts w:ascii="Calibri" w:hAnsi="Calibri" w:eastAsia="宋体" w:cs="Times New Roman"/>
          <w:color w:val="auto"/>
          <w:szCs w:val="24"/>
        </w:rPr>
        <w:t xml:space="preserve"> </w:t>
      </w:r>
      <w:r>
        <w:rPr>
          <w:rFonts w:ascii="宋体" w:hAnsi="宋体"/>
          <w:color w:val="auto"/>
          <w:sz w:val="24"/>
          <w:szCs w:val="24"/>
        </w:rPr>
        <w:t>成交人须依照相关规定追究处理。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4.供应商不得相互串通谈判报价，不得妨碍其他供应商的公平竞争，不得损害采购人或其他供应商的合法权益，供应商不得以向采购人、谈判小组成员行贿或者采取其他不正当手段谋取成交。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5.为采购项目提供整体设计、规范编制或者项目管理、监理、检测等服务的供应商，不得再参加该采购项目的其他采购活动。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6.谈判响应文件格式中的表格式样可以根据项目差别做适当调整,但应当保持表格样式基本形态不变。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7.单位负责人为同一人或者存在直接控股、管理关系的不同供应商，不得参加同一合同项下的政府采购活动。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8.本项目不允许分包。</w:t>
      </w:r>
    </w:p>
    <w:p>
      <w:pPr>
        <w:spacing w:line="360" w:lineRule="auto"/>
        <w:outlineLvl w:val="1"/>
        <w:rPr>
          <w:rFonts w:ascii="宋体" w:hAnsi="宋体"/>
          <w:b/>
          <w:color w:val="auto"/>
          <w:sz w:val="24"/>
          <w:szCs w:val="24"/>
        </w:rPr>
      </w:pPr>
      <w:r>
        <w:rPr>
          <w:rFonts w:hint="eastAsia" w:ascii="宋体" w:hAnsi="宋体"/>
          <w:b/>
          <w:color w:val="auto"/>
          <w:sz w:val="24"/>
          <w:szCs w:val="24"/>
        </w:rPr>
        <w:t>二、竞争性谈判报价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（一）竞争性谈判报价以人民币（元）为结算货币。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（二）谈判响应方应按竞争性谈判文件的要求，认真制作初次报价表。</w:t>
      </w:r>
      <w:r>
        <w:rPr>
          <w:rFonts w:ascii="宋体" w:hAnsi="宋体"/>
          <w:color w:val="auto"/>
          <w:sz w:val="24"/>
          <w:szCs w:val="24"/>
        </w:rPr>
        <w:t>此报价为供应商针对本项目报出的唯一的</w:t>
      </w:r>
      <w:r>
        <w:rPr>
          <w:rFonts w:hint="eastAsia" w:ascii="宋体" w:hAnsi="宋体"/>
          <w:color w:val="auto"/>
          <w:sz w:val="24"/>
          <w:szCs w:val="24"/>
        </w:rPr>
        <w:t>初次</w:t>
      </w:r>
      <w:r>
        <w:rPr>
          <w:rFonts w:ascii="宋体" w:hAnsi="宋体"/>
          <w:color w:val="auto"/>
          <w:sz w:val="24"/>
          <w:szCs w:val="24"/>
        </w:rPr>
        <w:t>报价，包含其它一切所要涉及到的费用，有选择的报价将被拒绝。</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（三）谈判报价</w:t>
      </w:r>
      <w:r>
        <w:rPr>
          <w:rFonts w:ascii="宋体" w:hAnsi="宋体"/>
          <w:color w:val="auto"/>
          <w:sz w:val="24"/>
          <w:szCs w:val="24"/>
        </w:rPr>
        <w:t>应当包括货款、标准附件、备品备件、专用工具、包装、运输、装卸、保险、税金、货到就位以及安装、调试、培训、保修、合同包含的所有风险责任等各项费用及不可预见费等所需的全部费用。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（四）本项目设有最高限价，最高限价为预算价。若谈判报价超过最高限价的，其谈判响应文件作无效标处理。</w:t>
      </w:r>
      <w:r>
        <w:rPr>
          <w:rFonts w:hint="eastAsia" w:ascii="宋体" w:hAnsi="宋体"/>
          <w:color w:val="auto"/>
          <w:sz w:val="24"/>
          <w:szCs w:val="24"/>
          <w:lang w:eastAsia="zh-CN"/>
        </w:rPr>
        <w:t>本项目谈判结果采取最低价中标，符合要求企业二次报价最低者中标。</w:t>
      </w:r>
    </w:p>
    <w:p>
      <w:pPr>
        <w:spacing w:line="360" w:lineRule="auto"/>
        <w:ind w:firstLine="480" w:firstLineChars="200"/>
        <w:rPr>
          <w:rFonts w:ascii="宋体" w:hAnsi="宋体"/>
          <w:color w:val="auto"/>
          <w:sz w:val="24"/>
          <w:szCs w:val="24"/>
        </w:rPr>
      </w:pPr>
      <w:r>
        <w:rPr>
          <w:rFonts w:ascii="宋体" w:hAnsi="宋体"/>
          <w:color w:val="auto"/>
          <w:sz w:val="24"/>
          <w:szCs w:val="24"/>
        </w:rPr>
        <w:t>（五）相关报价表需打印或用不退色的墨水填写，</w:t>
      </w:r>
      <w:r>
        <w:rPr>
          <w:rFonts w:hint="eastAsia" w:ascii="宋体" w:hAnsi="宋体"/>
          <w:color w:val="auto"/>
          <w:sz w:val="24"/>
          <w:szCs w:val="24"/>
        </w:rPr>
        <w:t>谈判</w:t>
      </w:r>
      <w:r>
        <w:rPr>
          <w:rFonts w:ascii="宋体" w:hAnsi="宋体"/>
          <w:color w:val="auto"/>
          <w:sz w:val="24"/>
          <w:szCs w:val="24"/>
        </w:rPr>
        <w:t>响应报价表不得涂改和增删，如有错漏必须修改，修改处须由同一签署人签字或盖章。由于字迹模糊或表达不清引起的后果由供应商负责。</w:t>
      </w:r>
    </w:p>
    <w:p>
      <w:pPr>
        <w:spacing w:line="360" w:lineRule="auto"/>
        <w:ind w:firstLine="480" w:firstLineChars="200"/>
        <w:rPr>
          <w:rFonts w:ascii="宋体" w:hAnsi="宋体"/>
          <w:color w:val="auto"/>
          <w:sz w:val="24"/>
          <w:szCs w:val="24"/>
        </w:rPr>
      </w:pPr>
      <w:r>
        <w:rPr>
          <w:rFonts w:ascii="宋体" w:hAnsi="宋体"/>
          <w:color w:val="auto"/>
          <w:sz w:val="24"/>
          <w:szCs w:val="24"/>
        </w:rPr>
        <w:t>（六）报价有关表格应按</w:t>
      </w:r>
      <w:r>
        <w:rPr>
          <w:rFonts w:hint="eastAsia" w:ascii="宋体" w:hAnsi="宋体"/>
          <w:color w:val="auto"/>
          <w:sz w:val="24"/>
          <w:szCs w:val="24"/>
        </w:rPr>
        <w:t>谈判</w:t>
      </w:r>
      <w:r>
        <w:rPr>
          <w:rFonts w:ascii="宋体" w:hAnsi="宋体"/>
          <w:color w:val="auto"/>
          <w:sz w:val="24"/>
          <w:szCs w:val="24"/>
        </w:rPr>
        <w:t>采购文件中相关附表格式填写。</w:t>
      </w:r>
    </w:p>
    <w:p>
      <w:pPr>
        <w:spacing w:line="360" w:lineRule="auto"/>
        <w:outlineLvl w:val="1"/>
        <w:rPr>
          <w:rFonts w:ascii="宋体" w:hAnsi="宋体"/>
          <w:b/>
          <w:color w:val="auto"/>
          <w:sz w:val="24"/>
          <w:szCs w:val="24"/>
        </w:rPr>
      </w:pPr>
      <w:bookmarkStart w:id="2" w:name="_Toc182848977"/>
      <w:r>
        <w:rPr>
          <w:rFonts w:hint="eastAsia" w:ascii="宋体" w:hAnsi="宋体"/>
          <w:b/>
          <w:color w:val="auto"/>
          <w:sz w:val="24"/>
          <w:szCs w:val="24"/>
        </w:rPr>
        <w:t>三、谈判保证金</w:t>
      </w:r>
      <w:bookmarkEnd w:id="2"/>
    </w:p>
    <w:p>
      <w:pPr>
        <w:spacing w:line="360" w:lineRule="auto"/>
        <w:ind w:firstLine="600" w:firstLineChars="250"/>
        <w:rPr>
          <w:rFonts w:ascii="宋体" w:hAnsi="宋体"/>
          <w:color w:val="auto"/>
          <w:sz w:val="24"/>
          <w:szCs w:val="24"/>
        </w:rPr>
      </w:pPr>
      <w:r>
        <w:rPr>
          <w:rFonts w:ascii="宋体" w:hAnsi="宋体"/>
          <w:color w:val="auto"/>
          <w:sz w:val="24"/>
          <w:szCs w:val="24"/>
        </w:rPr>
        <w:t>本项目无需提交谈判保证金</w:t>
      </w:r>
      <w:r>
        <w:rPr>
          <w:rFonts w:hint="eastAsia" w:ascii="宋体" w:hAnsi="宋体"/>
          <w:color w:val="auto"/>
          <w:sz w:val="24"/>
          <w:szCs w:val="24"/>
        </w:rPr>
        <w:t>。</w:t>
      </w:r>
    </w:p>
    <w:p>
      <w:pPr>
        <w:spacing w:line="360" w:lineRule="auto"/>
        <w:outlineLvl w:val="1"/>
        <w:rPr>
          <w:rFonts w:ascii="宋体" w:hAnsi="宋体"/>
          <w:b/>
          <w:color w:val="auto"/>
          <w:sz w:val="24"/>
          <w:szCs w:val="24"/>
        </w:rPr>
      </w:pPr>
      <w:r>
        <w:rPr>
          <w:rFonts w:hint="eastAsia" w:ascii="宋体" w:hAnsi="宋体"/>
          <w:b/>
          <w:color w:val="auto"/>
          <w:sz w:val="24"/>
          <w:szCs w:val="24"/>
        </w:rPr>
        <w:t>四、谈判有效期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（一）谈判响应文件从谈判之日起，谈判有效期为60个工作日。</w:t>
      </w:r>
      <w:r>
        <w:rPr>
          <w:rFonts w:ascii="宋体" w:hAnsi="宋体"/>
          <w:color w:val="auto"/>
          <w:sz w:val="24"/>
          <w:szCs w:val="24"/>
          <w:lang w:val="en-GB"/>
        </w:rPr>
        <w:t>有效期不足的</w:t>
      </w:r>
      <w:r>
        <w:rPr>
          <w:rFonts w:hint="eastAsia" w:ascii="宋体" w:hAnsi="宋体"/>
          <w:color w:val="auto"/>
          <w:sz w:val="24"/>
          <w:szCs w:val="24"/>
          <w:lang w:val="en-GB"/>
        </w:rPr>
        <w:t>谈判</w:t>
      </w:r>
      <w:r>
        <w:rPr>
          <w:rFonts w:ascii="宋体" w:hAnsi="宋体"/>
          <w:color w:val="auto"/>
          <w:sz w:val="24"/>
          <w:szCs w:val="24"/>
          <w:lang w:val="en-GB"/>
        </w:rPr>
        <w:t>响应文件将被拒绝。</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（二）特殊情况下，谈判方可与谈判响应方协商延缓谈判响应文件的有效期，这种要求和答复均以书面形式进行。在这种情况下，保证金的有效期也相应延长。</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（三）谈判响应方可拒绝接受延期要求而不会导致保证金被没收，同意延长有效期的谈判响应方不能修改谈判响应文件。</w:t>
      </w:r>
    </w:p>
    <w:p>
      <w:pPr>
        <w:spacing w:line="360" w:lineRule="auto"/>
        <w:outlineLvl w:val="1"/>
        <w:rPr>
          <w:rFonts w:ascii="宋体" w:hAnsi="宋体"/>
          <w:b/>
          <w:color w:val="auto"/>
          <w:sz w:val="24"/>
          <w:szCs w:val="24"/>
        </w:rPr>
      </w:pPr>
      <w:r>
        <w:rPr>
          <w:rFonts w:hint="eastAsia" w:ascii="宋体" w:hAnsi="宋体"/>
          <w:b/>
          <w:color w:val="auto"/>
          <w:sz w:val="24"/>
          <w:szCs w:val="24"/>
        </w:rPr>
        <w:t>五、谈判响应文件的组成</w:t>
      </w:r>
    </w:p>
    <w:bookmarkEnd w:id="0"/>
    <w:p>
      <w:pPr>
        <w:spacing w:line="360" w:lineRule="auto"/>
        <w:ind w:firstLine="480" w:firstLineChars="200"/>
        <w:rPr>
          <w:rFonts w:ascii="宋体" w:hAnsi="宋体"/>
          <w:color w:val="auto"/>
          <w:sz w:val="24"/>
          <w:szCs w:val="24"/>
        </w:rPr>
      </w:pPr>
      <w:bookmarkStart w:id="3" w:name="_Toc182848976"/>
      <w:r>
        <w:rPr>
          <w:rFonts w:ascii="宋体" w:hAnsi="宋体"/>
          <w:color w:val="auto"/>
          <w:sz w:val="24"/>
          <w:szCs w:val="24"/>
        </w:rPr>
        <w:t>供应商应仔细阅读</w:t>
      </w:r>
      <w:r>
        <w:rPr>
          <w:rFonts w:hint="eastAsia" w:ascii="宋体" w:hAnsi="宋体"/>
          <w:color w:val="auto"/>
          <w:sz w:val="24"/>
          <w:szCs w:val="24"/>
        </w:rPr>
        <w:t>谈判</w:t>
      </w:r>
      <w:r>
        <w:rPr>
          <w:rFonts w:ascii="宋体" w:hAnsi="宋体"/>
          <w:color w:val="auto"/>
          <w:sz w:val="24"/>
          <w:szCs w:val="24"/>
        </w:rPr>
        <w:t>采购文件的所有内容，按</w:t>
      </w:r>
      <w:r>
        <w:rPr>
          <w:rFonts w:hint="eastAsia" w:ascii="宋体" w:hAnsi="宋体"/>
          <w:color w:val="auto"/>
          <w:sz w:val="24"/>
          <w:szCs w:val="24"/>
        </w:rPr>
        <w:t>谈判</w:t>
      </w:r>
      <w:r>
        <w:rPr>
          <w:rFonts w:ascii="宋体" w:hAnsi="宋体"/>
          <w:color w:val="auto"/>
          <w:sz w:val="24"/>
          <w:szCs w:val="24"/>
        </w:rPr>
        <w:t>采购文件的要求，详细编制</w:t>
      </w:r>
      <w:r>
        <w:rPr>
          <w:rFonts w:hint="eastAsia" w:ascii="宋体" w:hAnsi="宋体"/>
          <w:color w:val="auto"/>
          <w:sz w:val="24"/>
          <w:szCs w:val="24"/>
        </w:rPr>
        <w:t>谈判</w:t>
      </w:r>
      <w:r>
        <w:rPr>
          <w:rFonts w:ascii="宋体" w:hAnsi="宋体"/>
          <w:color w:val="auto"/>
          <w:sz w:val="24"/>
          <w:szCs w:val="24"/>
        </w:rPr>
        <w:t>响应文件。</w:t>
      </w:r>
      <w:r>
        <w:rPr>
          <w:rFonts w:hint="eastAsia" w:ascii="宋体" w:hAnsi="宋体"/>
          <w:color w:val="auto"/>
          <w:sz w:val="24"/>
          <w:szCs w:val="24"/>
        </w:rPr>
        <w:t>谈判响应文件由商务、技术响应文件二部分组成。</w:t>
      </w:r>
    </w:p>
    <w:p>
      <w:pPr>
        <w:spacing w:line="360" w:lineRule="auto"/>
        <w:rPr>
          <w:rFonts w:ascii="宋体" w:hAnsi="宋体"/>
          <w:b/>
          <w:color w:val="auto"/>
          <w:sz w:val="24"/>
          <w:szCs w:val="24"/>
        </w:rPr>
      </w:pPr>
      <w:r>
        <w:rPr>
          <w:rFonts w:hint="eastAsia" w:ascii="宋体" w:hAnsi="宋体"/>
          <w:b/>
          <w:color w:val="auto"/>
          <w:sz w:val="24"/>
          <w:szCs w:val="24"/>
        </w:rPr>
        <w:t>（一）商务响应文件由商务报价和资格、资信证明文件组成：</w:t>
      </w:r>
    </w:p>
    <w:p>
      <w:pPr>
        <w:spacing w:line="360" w:lineRule="auto"/>
        <w:ind w:firstLine="480" w:firstLineChars="200"/>
        <w:rPr>
          <w:rFonts w:ascii="宋体" w:hAnsi="宋体"/>
          <w:b/>
          <w:color w:val="auto"/>
          <w:sz w:val="24"/>
          <w:szCs w:val="24"/>
        </w:rPr>
      </w:pPr>
      <w:r>
        <w:rPr>
          <w:rFonts w:hint="eastAsia" w:ascii="宋体" w:hAnsi="宋体"/>
          <w:b/>
          <w:color w:val="auto"/>
          <w:sz w:val="24"/>
          <w:szCs w:val="24"/>
        </w:rPr>
        <w:t>1、商务报价：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（1）谈判响应书（附件一）；</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（2）初次报价一览表</w:t>
      </w:r>
      <w:r>
        <w:rPr>
          <w:rFonts w:hint="eastAsia" w:ascii="宋体" w:hAnsi="宋体"/>
          <w:color w:val="auto"/>
          <w:sz w:val="24"/>
          <w:szCs w:val="24"/>
          <w:lang w:eastAsia="zh-CN"/>
        </w:rPr>
        <w:t>　</w:t>
      </w:r>
      <w:r>
        <w:rPr>
          <w:rFonts w:hint="eastAsia" w:ascii="宋体" w:hAnsi="宋体"/>
          <w:color w:val="auto"/>
          <w:sz w:val="24"/>
          <w:szCs w:val="24"/>
        </w:rPr>
        <w:t>附件三</w:t>
      </w:r>
      <w:r>
        <w:rPr>
          <w:rFonts w:hint="eastAsia" w:ascii="宋体" w:hAnsi="宋体"/>
          <w:color w:val="auto"/>
          <w:sz w:val="24"/>
          <w:szCs w:val="24"/>
          <w:lang w:eastAsia="zh-CN"/>
        </w:rPr>
        <w:t>（</w:t>
      </w:r>
      <w:r>
        <w:rPr>
          <w:rFonts w:hint="eastAsia" w:ascii="宋体" w:hAnsi="宋体"/>
          <w:color w:val="auto"/>
          <w:sz w:val="24"/>
          <w:szCs w:val="24"/>
          <w:lang w:val="en-US" w:eastAsia="zh-CN"/>
        </w:rPr>
        <w:t>1</w:t>
      </w:r>
      <w:r>
        <w:rPr>
          <w:rFonts w:hint="eastAsia" w:ascii="宋体" w:hAnsi="宋体"/>
          <w:color w:val="auto"/>
          <w:sz w:val="24"/>
          <w:szCs w:val="24"/>
          <w:lang w:eastAsia="zh-CN"/>
        </w:rPr>
        <w:t>）</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（3）谈判项目明细清单（附件四）；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（4）商务需求响应表（（附件五）对应第二章第三条）。</w:t>
      </w:r>
    </w:p>
    <w:p>
      <w:pPr>
        <w:spacing w:line="360" w:lineRule="auto"/>
        <w:ind w:firstLine="480" w:firstLineChars="200"/>
        <w:rPr>
          <w:rFonts w:ascii="宋体" w:hAnsi="宋体"/>
          <w:b/>
          <w:color w:val="auto"/>
          <w:sz w:val="24"/>
          <w:szCs w:val="24"/>
        </w:rPr>
      </w:pPr>
      <w:r>
        <w:rPr>
          <w:rFonts w:hint="eastAsia" w:ascii="宋体" w:hAnsi="宋体"/>
          <w:b/>
          <w:color w:val="auto"/>
          <w:sz w:val="24"/>
          <w:szCs w:val="24"/>
        </w:rPr>
        <w:t>2、资格、资信证明文件：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（1）法定代表人授权书（附件二）；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w:t>
      </w:r>
      <w:r>
        <w:rPr>
          <w:rFonts w:hint="eastAsia" w:ascii="宋体" w:hAnsi="宋体"/>
          <w:color w:val="auto"/>
          <w:sz w:val="24"/>
          <w:szCs w:val="24"/>
        </w:rPr>
        <w:t>营业执照（需加盖单位公章）；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（3）投标供应商情况介绍；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（4）近三年来同类项目的成功案例；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（5）投标人认为可以证明其能力的其他材料。</w:t>
      </w:r>
    </w:p>
    <w:p>
      <w:pPr>
        <w:spacing w:line="360" w:lineRule="auto"/>
        <w:rPr>
          <w:rFonts w:ascii="宋体" w:hAnsi="宋体"/>
          <w:b/>
          <w:color w:val="auto"/>
          <w:sz w:val="24"/>
          <w:szCs w:val="24"/>
        </w:rPr>
      </w:pPr>
      <w:r>
        <w:rPr>
          <w:rFonts w:hint="eastAsia" w:ascii="宋体" w:hAnsi="宋体"/>
          <w:b/>
          <w:color w:val="auto"/>
          <w:sz w:val="24"/>
          <w:szCs w:val="24"/>
        </w:rPr>
        <w:t>（二）技术响应文件：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（1）对本项目的具体响应方案（对应第二章第二条）；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（2）技术需求响应表（附件六）（填制时对应第二章第二条）；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（3）拟参加本项目人员名单；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（4）技术服务、技术培训、售后服务的内容和措施；</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（5）谈判供应商需要说明的其他内容（格式自拟）。</w:t>
      </w:r>
    </w:p>
    <w:bookmarkEnd w:id="3"/>
    <w:p>
      <w:pPr>
        <w:spacing w:line="360" w:lineRule="auto"/>
        <w:outlineLvl w:val="1"/>
        <w:rPr>
          <w:rFonts w:ascii="宋体" w:hAnsi="宋体"/>
          <w:b/>
          <w:color w:val="auto"/>
          <w:sz w:val="24"/>
          <w:szCs w:val="24"/>
        </w:rPr>
      </w:pPr>
      <w:r>
        <w:rPr>
          <w:rFonts w:hint="eastAsia" w:ascii="宋体" w:hAnsi="宋体"/>
          <w:b/>
          <w:color w:val="auto"/>
          <w:sz w:val="24"/>
          <w:szCs w:val="24"/>
        </w:rPr>
        <w:t>六、谈判响应文件的制作、签署和份数</w:t>
      </w:r>
    </w:p>
    <w:p>
      <w:pPr>
        <w:spacing w:line="360" w:lineRule="auto"/>
        <w:ind w:firstLine="480" w:firstLineChars="200"/>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一</w:t>
      </w:r>
      <w:r>
        <w:rPr>
          <w:rFonts w:ascii="宋体" w:hAnsi="宋体"/>
          <w:color w:val="auto"/>
          <w:sz w:val="24"/>
          <w:szCs w:val="24"/>
        </w:rPr>
        <w:t>）供应商应按照</w:t>
      </w:r>
      <w:r>
        <w:rPr>
          <w:rFonts w:hint="eastAsia" w:ascii="宋体" w:hAnsi="宋体"/>
          <w:color w:val="auto"/>
          <w:sz w:val="24"/>
          <w:szCs w:val="24"/>
        </w:rPr>
        <w:t>谈判</w:t>
      </w:r>
      <w:r>
        <w:rPr>
          <w:rFonts w:ascii="宋体" w:hAnsi="宋体"/>
          <w:color w:val="auto"/>
          <w:sz w:val="24"/>
          <w:szCs w:val="24"/>
        </w:rPr>
        <w:t>响应文件组成内容及项目</w:t>
      </w:r>
      <w:r>
        <w:rPr>
          <w:rFonts w:hint="eastAsia" w:ascii="宋体" w:hAnsi="宋体"/>
          <w:color w:val="auto"/>
          <w:sz w:val="24"/>
          <w:szCs w:val="24"/>
        </w:rPr>
        <w:t>谈判</w:t>
      </w:r>
      <w:r>
        <w:rPr>
          <w:rFonts w:ascii="宋体" w:hAnsi="宋体"/>
          <w:color w:val="auto"/>
          <w:sz w:val="24"/>
          <w:szCs w:val="24"/>
        </w:rPr>
        <w:t>需求制作</w:t>
      </w:r>
      <w:r>
        <w:rPr>
          <w:rFonts w:hint="eastAsia" w:ascii="宋体" w:hAnsi="宋体"/>
          <w:color w:val="auto"/>
          <w:sz w:val="24"/>
          <w:szCs w:val="24"/>
        </w:rPr>
        <w:t>谈判</w:t>
      </w:r>
      <w:r>
        <w:rPr>
          <w:rFonts w:ascii="宋体" w:hAnsi="宋体"/>
          <w:color w:val="auto"/>
          <w:sz w:val="24"/>
          <w:szCs w:val="24"/>
        </w:rPr>
        <w:t>响应文件，不按</w:t>
      </w:r>
      <w:r>
        <w:rPr>
          <w:rFonts w:hint="eastAsia" w:ascii="宋体" w:hAnsi="宋体"/>
          <w:color w:val="auto"/>
          <w:sz w:val="24"/>
          <w:szCs w:val="24"/>
        </w:rPr>
        <w:t>谈判</w:t>
      </w:r>
      <w:r>
        <w:rPr>
          <w:rFonts w:ascii="宋体" w:hAnsi="宋体"/>
          <w:color w:val="auto"/>
          <w:sz w:val="24"/>
          <w:szCs w:val="24"/>
        </w:rPr>
        <w:t>采购文件要求制作</w:t>
      </w:r>
      <w:r>
        <w:rPr>
          <w:rFonts w:hint="eastAsia" w:ascii="宋体" w:hAnsi="宋体"/>
          <w:color w:val="auto"/>
          <w:sz w:val="24"/>
          <w:szCs w:val="24"/>
        </w:rPr>
        <w:t>谈判</w:t>
      </w:r>
      <w:r>
        <w:rPr>
          <w:rFonts w:ascii="宋体" w:hAnsi="宋体"/>
          <w:color w:val="auto"/>
          <w:sz w:val="24"/>
          <w:szCs w:val="24"/>
        </w:rPr>
        <w:t>响应文件的将视情处理（拒收、扣分等），由此产生的责任由谈判供应商自行承担。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（二）谈判响应文件需打印或用不褪色的墨水填写。谈判响应文件的装订顺序应按供应商须知第五条所叙顺序装订。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（三）谈判响应文件填写字迹必须清楚、工整，对在谈判响应文件中的不同文字文本的解释发生异议的，以中文文本为准。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（四）谈判响应文件所有凡需要盖章的地方均须由谈判响应方盖章，并由法定代表人或法定代表人授权代表签署。谈判响应方应写全称。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（五）谈判响应方应将谈判响应文件的商务、技术响应文件分别装订，商务响应文件正本一份，副本</w:t>
      </w:r>
      <w:r>
        <w:rPr>
          <w:rFonts w:hint="eastAsia" w:ascii="宋体" w:hAnsi="宋体"/>
          <w:color w:val="auto"/>
          <w:sz w:val="24"/>
          <w:szCs w:val="24"/>
          <w:u w:val="single"/>
        </w:rPr>
        <w:t>三</w:t>
      </w:r>
      <w:r>
        <w:rPr>
          <w:rFonts w:hint="eastAsia" w:ascii="宋体" w:hAnsi="宋体"/>
          <w:color w:val="auto"/>
          <w:sz w:val="24"/>
          <w:szCs w:val="24"/>
        </w:rPr>
        <w:t>份，技术响应文件正本一份，副本</w:t>
      </w:r>
      <w:r>
        <w:rPr>
          <w:rFonts w:hint="eastAsia" w:ascii="宋体" w:hAnsi="宋体"/>
          <w:color w:val="auto"/>
          <w:sz w:val="24"/>
          <w:szCs w:val="24"/>
          <w:u w:val="single"/>
        </w:rPr>
        <w:t>三</w:t>
      </w:r>
      <w:r>
        <w:rPr>
          <w:rFonts w:hint="eastAsia" w:ascii="宋体" w:hAnsi="宋体"/>
          <w:color w:val="auto"/>
          <w:sz w:val="24"/>
          <w:szCs w:val="24"/>
        </w:rPr>
        <w:t>份。正本为原件，副本是正本的复印件。</w:t>
      </w:r>
    </w:p>
    <w:p>
      <w:pPr>
        <w:spacing w:line="360" w:lineRule="auto"/>
        <w:outlineLvl w:val="1"/>
        <w:rPr>
          <w:rFonts w:ascii="宋体" w:hAnsi="宋体"/>
          <w:b/>
          <w:color w:val="auto"/>
          <w:sz w:val="24"/>
          <w:szCs w:val="24"/>
        </w:rPr>
      </w:pPr>
      <w:r>
        <w:rPr>
          <w:rFonts w:hint="eastAsia" w:ascii="宋体" w:hAnsi="宋体"/>
          <w:b/>
          <w:color w:val="auto"/>
          <w:sz w:val="24"/>
          <w:szCs w:val="24"/>
        </w:rPr>
        <w:t>七、谈判响应文件的封装及递交要求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（一）谈判响应文件的商务、技术响应文件分别装订密封，且正、副本各自密封。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（二）谈判响应文件需加以密封，</w:t>
      </w:r>
      <w:r>
        <w:rPr>
          <w:rFonts w:ascii="宋体" w:hAnsi="宋体"/>
          <w:color w:val="auto"/>
          <w:sz w:val="24"/>
          <w:szCs w:val="24"/>
        </w:rPr>
        <w:t>在密封袋的封口处应有</w:t>
      </w:r>
      <w:r>
        <w:rPr>
          <w:rFonts w:hint="eastAsia" w:ascii="宋体" w:hAnsi="宋体"/>
          <w:color w:val="auto"/>
          <w:sz w:val="24"/>
          <w:szCs w:val="24"/>
        </w:rPr>
        <w:t>谈判</w:t>
      </w:r>
      <w:r>
        <w:rPr>
          <w:rFonts w:ascii="宋体" w:hAnsi="宋体"/>
          <w:color w:val="auto"/>
          <w:sz w:val="24"/>
          <w:szCs w:val="24"/>
        </w:rPr>
        <w:t>供应商公章或授权代表签字。</w:t>
      </w:r>
      <w:r>
        <w:rPr>
          <w:rFonts w:hint="eastAsia" w:ascii="宋体" w:hAnsi="宋体"/>
          <w:color w:val="auto"/>
          <w:sz w:val="24"/>
          <w:szCs w:val="24"/>
        </w:rPr>
        <w:t>并在封皮上写明：</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1、谈判方单位名称、项目名称、项目编号、参加谈判的标项；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2、谈判响应方名称、通讯地址、授权代表人；</w:t>
      </w:r>
    </w:p>
    <w:p>
      <w:pPr>
        <w:spacing w:line="360" w:lineRule="auto"/>
        <w:ind w:right="-355" w:rightChars="-169" w:firstLine="480" w:firstLineChars="200"/>
        <w:rPr>
          <w:rFonts w:ascii="宋体" w:hAnsi="宋体"/>
          <w:color w:val="auto"/>
          <w:sz w:val="24"/>
          <w:szCs w:val="24"/>
        </w:rPr>
      </w:pPr>
      <w:r>
        <w:rPr>
          <w:rFonts w:hint="eastAsia" w:ascii="宋体" w:hAnsi="宋体"/>
          <w:color w:val="auto"/>
          <w:sz w:val="24"/>
          <w:szCs w:val="24"/>
        </w:rPr>
        <w:t>（三）如果谈判响应方未加写标记，谈判方对谈判响应文件的误投和提前启封不负责任。</w:t>
      </w:r>
    </w:p>
    <w:p>
      <w:pPr>
        <w:spacing w:line="360" w:lineRule="auto"/>
        <w:ind w:right="-355" w:rightChars="-169" w:firstLine="480" w:firstLineChars="200"/>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四</w:t>
      </w:r>
      <w:r>
        <w:rPr>
          <w:rFonts w:ascii="宋体" w:hAnsi="宋体"/>
          <w:color w:val="auto"/>
          <w:sz w:val="24"/>
          <w:szCs w:val="24"/>
        </w:rPr>
        <w:t>）因密封不严、标记不明而造成失密、拒收、过早启封等情况，谈判方概不负责。</w:t>
      </w:r>
    </w:p>
    <w:p>
      <w:pPr>
        <w:spacing w:line="360" w:lineRule="auto"/>
        <w:ind w:right="-355" w:rightChars="-169" w:firstLine="480" w:firstLineChars="200"/>
        <w:rPr>
          <w:rFonts w:ascii="宋体" w:hAnsi="宋体"/>
          <w:color w:val="auto"/>
          <w:sz w:val="24"/>
          <w:szCs w:val="24"/>
        </w:rPr>
      </w:pPr>
      <w:r>
        <w:rPr>
          <w:rFonts w:ascii="宋体" w:hAnsi="宋体"/>
          <w:color w:val="auto"/>
          <w:sz w:val="24"/>
          <w:szCs w:val="24"/>
        </w:rPr>
        <w:t>（五）</w:t>
      </w:r>
      <w:r>
        <w:rPr>
          <w:rFonts w:hint="eastAsia" w:ascii="宋体" w:hAnsi="宋体"/>
          <w:color w:val="auto"/>
          <w:sz w:val="24"/>
          <w:szCs w:val="24"/>
        </w:rPr>
        <w:t>谈判方于谈判现场在谈判响应截止时间前半小时内接受谈判响应标书。谈判</w:t>
      </w:r>
      <w:r>
        <w:rPr>
          <w:rFonts w:ascii="宋体" w:hAnsi="宋体"/>
          <w:color w:val="auto"/>
          <w:sz w:val="24"/>
          <w:szCs w:val="24"/>
        </w:rPr>
        <w:t>响应文件必须在规定时间前派人送达指定的</w:t>
      </w:r>
      <w:r>
        <w:rPr>
          <w:rFonts w:hint="eastAsia" w:ascii="宋体" w:hAnsi="宋体"/>
          <w:color w:val="auto"/>
          <w:sz w:val="24"/>
          <w:szCs w:val="24"/>
        </w:rPr>
        <w:t>谈判</w:t>
      </w:r>
      <w:r>
        <w:rPr>
          <w:rFonts w:ascii="宋体" w:hAnsi="宋体"/>
          <w:color w:val="auto"/>
          <w:sz w:val="24"/>
          <w:szCs w:val="24"/>
        </w:rPr>
        <w:t>地点。</w:t>
      </w:r>
      <w:r>
        <w:rPr>
          <w:rFonts w:hint="eastAsia" w:ascii="宋体" w:hAnsi="宋体"/>
          <w:color w:val="auto"/>
          <w:sz w:val="24"/>
          <w:szCs w:val="24"/>
        </w:rPr>
        <w:t>谈判</w:t>
      </w:r>
      <w:r>
        <w:rPr>
          <w:rFonts w:ascii="宋体" w:hAnsi="宋体"/>
          <w:color w:val="auto"/>
          <w:sz w:val="24"/>
          <w:szCs w:val="24"/>
        </w:rPr>
        <w:t>响应文件在截止时间后提交，采购</w:t>
      </w:r>
      <w:r>
        <w:rPr>
          <w:rFonts w:hint="eastAsia" w:ascii="宋体" w:hAnsi="宋体"/>
          <w:color w:val="auto"/>
          <w:sz w:val="24"/>
          <w:szCs w:val="24"/>
        </w:rPr>
        <w:t>人</w:t>
      </w:r>
      <w:r>
        <w:rPr>
          <w:rFonts w:ascii="宋体" w:hAnsi="宋体"/>
          <w:color w:val="auto"/>
          <w:sz w:val="24"/>
          <w:szCs w:val="24"/>
        </w:rPr>
        <w:t>将拒绝接收。</w:t>
      </w:r>
    </w:p>
    <w:p>
      <w:pPr>
        <w:spacing w:line="360" w:lineRule="auto"/>
        <w:ind w:right="-355" w:rightChars="-169" w:firstLine="480" w:firstLineChars="200"/>
        <w:rPr>
          <w:rFonts w:ascii="宋体" w:hAnsi="宋体"/>
          <w:color w:val="auto"/>
          <w:sz w:val="24"/>
          <w:szCs w:val="24"/>
        </w:rPr>
      </w:pPr>
      <w:r>
        <w:rPr>
          <w:rFonts w:ascii="宋体" w:hAnsi="宋体"/>
          <w:color w:val="auto"/>
          <w:sz w:val="24"/>
          <w:szCs w:val="24"/>
        </w:rPr>
        <w:t>（六）如有特殊情况，采购</w:t>
      </w:r>
      <w:r>
        <w:rPr>
          <w:rFonts w:hint="eastAsia" w:ascii="宋体" w:hAnsi="宋体"/>
          <w:color w:val="auto"/>
          <w:sz w:val="24"/>
          <w:szCs w:val="24"/>
        </w:rPr>
        <w:t>人</w:t>
      </w:r>
      <w:r>
        <w:rPr>
          <w:rFonts w:ascii="宋体" w:hAnsi="宋体"/>
          <w:color w:val="auto"/>
          <w:sz w:val="24"/>
          <w:szCs w:val="24"/>
        </w:rPr>
        <w:t>延长截止时间和</w:t>
      </w:r>
      <w:r>
        <w:rPr>
          <w:rFonts w:hint="eastAsia" w:ascii="宋体" w:hAnsi="宋体"/>
          <w:color w:val="auto"/>
          <w:sz w:val="24"/>
          <w:szCs w:val="24"/>
        </w:rPr>
        <w:t>谈判</w:t>
      </w:r>
      <w:r>
        <w:rPr>
          <w:rFonts w:ascii="宋体" w:hAnsi="宋体"/>
          <w:color w:val="auto"/>
          <w:sz w:val="24"/>
          <w:szCs w:val="24"/>
        </w:rPr>
        <w:t>时间，采购</w:t>
      </w:r>
      <w:r>
        <w:rPr>
          <w:rFonts w:hint="eastAsia" w:ascii="宋体" w:hAnsi="宋体"/>
          <w:color w:val="auto"/>
          <w:sz w:val="24"/>
          <w:szCs w:val="24"/>
        </w:rPr>
        <w:t>人</w:t>
      </w:r>
      <w:r>
        <w:rPr>
          <w:rFonts w:ascii="宋体" w:hAnsi="宋体"/>
          <w:color w:val="auto"/>
          <w:sz w:val="24"/>
          <w:szCs w:val="24"/>
        </w:rPr>
        <w:t>和供应商的权利和义务将受到新的截止时间和</w:t>
      </w:r>
      <w:r>
        <w:rPr>
          <w:rFonts w:hint="eastAsia" w:ascii="宋体" w:hAnsi="宋体"/>
          <w:color w:val="auto"/>
          <w:sz w:val="24"/>
          <w:szCs w:val="24"/>
        </w:rPr>
        <w:t>谈判</w:t>
      </w:r>
      <w:r>
        <w:rPr>
          <w:rFonts w:ascii="宋体" w:hAnsi="宋体"/>
          <w:color w:val="auto"/>
          <w:sz w:val="24"/>
          <w:szCs w:val="24"/>
        </w:rPr>
        <w:t>时间的约束。</w:t>
      </w:r>
    </w:p>
    <w:p>
      <w:pPr>
        <w:spacing w:line="360" w:lineRule="auto"/>
        <w:outlineLvl w:val="1"/>
        <w:rPr>
          <w:rFonts w:ascii="宋体" w:hAnsi="宋体"/>
          <w:b/>
          <w:color w:val="auto"/>
          <w:sz w:val="24"/>
          <w:szCs w:val="24"/>
        </w:rPr>
      </w:pPr>
      <w:r>
        <w:rPr>
          <w:rFonts w:hint="eastAsia" w:ascii="宋体" w:hAnsi="宋体"/>
          <w:b/>
          <w:color w:val="auto"/>
          <w:sz w:val="24"/>
          <w:szCs w:val="24"/>
        </w:rPr>
        <w:t>八、谈判响应文件的补充和修改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谈判响应截止时间前，谈判响应方可以书面向谈判方就已递交的谈判响应文件提出补充和修改，相应部分以最后的补充和修改为准。该书面材料应密封，由谈判响应方代表签字并加盖公章。</w:t>
      </w:r>
    </w:p>
    <w:p>
      <w:pPr>
        <w:spacing w:line="360" w:lineRule="auto"/>
        <w:outlineLvl w:val="1"/>
        <w:rPr>
          <w:rFonts w:ascii="宋体" w:hAnsi="宋体"/>
          <w:b/>
          <w:color w:val="auto"/>
          <w:sz w:val="24"/>
          <w:szCs w:val="24"/>
        </w:rPr>
      </w:pPr>
      <w:r>
        <w:rPr>
          <w:rFonts w:hint="eastAsia" w:ascii="宋体" w:hAnsi="宋体"/>
          <w:b/>
          <w:color w:val="auto"/>
          <w:sz w:val="24"/>
          <w:szCs w:val="24"/>
        </w:rPr>
        <w:t>九、无效谈判响应文件及废标确认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（一）发生下列情况之一的谈判响应文件被视为无效：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1、在竞争性谈判文件递交截止时间以后送达的谈判响应文件；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2、由于包装不妥，在送交途中严重破损或失散的谈判响应文件；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3、以非纸质文件形式的谈判响应文件；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4、谈判响应方未能提供合格的资格文件；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5、标项以赠送方式响应的，对一个标项提供两个谈判响应方案的；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6、与竞争性谈判文件有重大偏离的谈判响应文件（没响应谈判文件中打“▲”内容或者没响应谈判文件中非打“▲”内容</w:t>
      </w:r>
      <w:r>
        <w:rPr>
          <w:rFonts w:hint="eastAsia" w:ascii="宋体" w:hAnsi="宋体"/>
          <w:color w:val="auto"/>
          <w:sz w:val="24"/>
          <w:szCs w:val="24"/>
          <w:lang w:val="en-US" w:eastAsia="zh-CN"/>
        </w:rPr>
        <w:t>1</w:t>
      </w:r>
      <w:r>
        <w:rPr>
          <w:rFonts w:hint="eastAsia" w:ascii="宋体" w:hAnsi="宋体"/>
          <w:color w:val="auto"/>
          <w:sz w:val="24"/>
          <w:szCs w:val="24"/>
        </w:rPr>
        <w:t>项（含</w:t>
      </w:r>
      <w:r>
        <w:rPr>
          <w:rFonts w:hint="eastAsia" w:ascii="宋体" w:hAnsi="宋体"/>
          <w:color w:val="auto"/>
          <w:sz w:val="24"/>
          <w:szCs w:val="24"/>
          <w:lang w:val="en-US" w:eastAsia="zh-CN"/>
        </w:rPr>
        <w:t>1</w:t>
      </w:r>
      <w:r>
        <w:rPr>
          <w:rFonts w:hint="eastAsia" w:ascii="宋体" w:hAnsi="宋体"/>
          <w:color w:val="auto"/>
          <w:sz w:val="24"/>
          <w:szCs w:val="24"/>
        </w:rPr>
        <w:t>项）以上的）；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7、应盖而未盖谈判响应方单位公章或盖非单位公章的、未装订、未密封、未有效授权、注册资金不符，谈判响应书、法定代表人授权书、资格声明函等填写不完整或有涂改的；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w:t>
      </w:r>
      <w:r>
        <w:rPr>
          <w:rFonts w:hint="eastAsia" w:ascii="宋体" w:hAnsi="宋体"/>
          <w:color w:val="auto"/>
          <w:sz w:val="24"/>
          <w:szCs w:val="24"/>
        </w:rPr>
        <w:t>谈判</w:t>
      </w:r>
      <w:r>
        <w:rPr>
          <w:rFonts w:ascii="宋体" w:hAnsi="宋体"/>
          <w:color w:val="auto"/>
          <w:sz w:val="24"/>
          <w:szCs w:val="24"/>
        </w:rPr>
        <w:t>响应文件含有采购人不能接受的附加条件的。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9、开标时谈判响应方全权代表未到开标现场或全权代表不能提供相应身份证明的；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、报价超过</w:t>
      </w:r>
      <w:r>
        <w:rPr>
          <w:rFonts w:hint="eastAsia" w:ascii="宋体" w:hAnsi="宋体"/>
          <w:color w:val="auto"/>
          <w:sz w:val="24"/>
          <w:szCs w:val="24"/>
        </w:rPr>
        <w:t>谈判</w:t>
      </w:r>
      <w:r>
        <w:rPr>
          <w:rFonts w:ascii="宋体" w:hAnsi="宋体"/>
          <w:color w:val="auto"/>
          <w:sz w:val="24"/>
          <w:szCs w:val="24"/>
        </w:rPr>
        <w:t>采购文件中规定的预算金额/最高限价。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w:t>
      </w:r>
      <w:r>
        <w:rPr>
          <w:rFonts w:ascii="宋体" w:hAnsi="宋体"/>
          <w:color w:val="auto"/>
          <w:sz w:val="24"/>
          <w:szCs w:val="24"/>
        </w:rPr>
        <w:t>、</w:t>
      </w:r>
      <w:r>
        <w:rPr>
          <w:rFonts w:hint="eastAsia" w:ascii="宋体" w:hAnsi="宋体"/>
          <w:color w:val="auto"/>
          <w:sz w:val="24"/>
          <w:szCs w:val="24"/>
        </w:rPr>
        <w:t>谈判</w:t>
      </w:r>
      <w:r>
        <w:rPr>
          <w:rFonts w:ascii="宋体" w:hAnsi="宋体"/>
          <w:color w:val="auto"/>
          <w:sz w:val="24"/>
          <w:szCs w:val="24"/>
        </w:rPr>
        <w:t>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w:t>
      </w:r>
      <w:r>
        <w:rPr>
          <w:rFonts w:hint="eastAsia" w:ascii="宋体" w:hAnsi="宋体"/>
          <w:color w:val="auto"/>
          <w:sz w:val="24"/>
          <w:szCs w:val="24"/>
        </w:rPr>
        <w:t>谈判</w:t>
      </w:r>
      <w:r>
        <w:rPr>
          <w:rFonts w:ascii="宋体" w:hAnsi="宋体"/>
          <w:color w:val="auto"/>
          <w:sz w:val="24"/>
          <w:szCs w:val="24"/>
        </w:rPr>
        <w:t>小组应当与其终止</w:t>
      </w:r>
      <w:r>
        <w:rPr>
          <w:rFonts w:hint="eastAsia" w:ascii="宋体" w:hAnsi="宋体"/>
          <w:color w:val="auto"/>
          <w:sz w:val="24"/>
          <w:szCs w:val="24"/>
        </w:rPr>
        <w:t>谈判</w:t>
      </w:r>
      <w:r>
        <w:rPr>
          <w:rFonts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w:t>
      </w:r>
      <w:r>
        <w:rPr>
          <w:rFonts w:ascii="宋体" w:hAnsi="宋体"/>
          <w:color w:val="auto"/>
          <w:sz w:val="24"/>
          <w:szCs w:val="24"/>
        </w:rPr>
        <w:t>、</w:t>
      </w:r>
      <w:r>
        <w:rPr>
          <w:rFonts w:hint="eastAsia" w:ascii="宋体" w:hAnsi="宋体"/>
          <w:color w:val="auto"/>
          <w:sz w:val="24"/>
          <w:szCs w:val="24"/>
        </w:rPr>
        <w:t>谈判</w:t>
      </w:r>
      <w:r>
        <w:rPr>
          <w:rFonts w:ascii="宋体" w:hAnsi="宋体"/>
          <w:color w:val="auto"/>
          <w:sz w:val="24"/>
          <w:szCs w:val="24"/>
        </w:rPr>
        <w:t>响应文件提供虚假材料的。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13</w:t>
      </w:r>
      <w:r>
        <w:rPr>
          <w:rFonts w:ascii="宋体" w:hAnsi="宋体"/>
          <w:color w:val="auto"/>
          <w:sz w:val="24"/>
          <w:szCs w:val="24"/>
        </w:rPr>
        <w:t>、不同供应商的</w:t>
      </w:r>
      <w:r>
        <w:rPr>
          <w:rFonts w:hint="eastAsia" w:ascii="宋体" w:hAnsi="宋体"/>
          <w:color w:val="auto"/>
          <w:sz w:val="24"/>
          <w:szCs w:val="24"/>
        </w:rPr>
        <w:t>谈判</w:t>
      </w:r>
      <w:r>
        <w:rPr>
          <w:rFonts w:ascii="宋体" w:hAnsi="宋体"/>
          <w:color w:val="auto"/>
          <w:sz w:val="24"/>
          <w:szCs w:val="24"/>
        </w:rPr>
        <w:t>响应文件由同一单位或者个人编制；</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、不同供应商委托同一单位或者个人办理</w:t>
      </w:r>
      <w:r>
        <w:rPr>
          <w:rFonts w:hint="eastAsia" w:ascii="宋体" w:hAnsi="宋体"/>
          <w:color w:val="auto"/>
          <w:sz w:val="24"/>
          <w:szCs w:val="24"/>
        </w:rPr>
        <w:t>谈判</w:t>
      </w:r>
      <w:r>
        <w:rPr>
          <w:rFonts w:ascii="宋体" w:hAnsi="宋体"/>
          <w:color w:val="auto"/>
          <w:sz w:val="24"/>
          <w:szCs w:val="24"/>
        </w:rPr>
        <w:t>事宜；</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5</w:t>
      </w:r>
      <w:r>
        <w:rPr>
          <w:rFonts w:ascii="宋体" w:hAnsi="宋体"/>
          <w:color w:val="auto"/>
          <w:sz w:val="24"/>
          <w:szCs w:val="24"/>
        </w:rPr>
        <w:t>、不同供应商的</w:t>
      </w:r>
      <w:r>
        <w:rPr>
          <w:rFonts w:hint="eastAsia" w:ascii="宋体" w:hAnsi="宋体"/>
          <w:color w:val="auto"/>
          <w:sz w:val="24"/>
          <w:szCs w:val="24"/>
        </w:rPr>
        <w:t>谈判</w:t>
      </w:r>
      <w:r>
        <w:rPr>
          <w:rFonts w:ascii="宋体" w:hAnsi="宋体"/>
          <w:color w:val="auto"/>
          <w:sz w:val="24"/>
          <w:szCs w:val="24"/>
        </w:rPr>
        <w:t>响应文件载明的项目管理成员或者联系人员为同一人；</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6</w:t>
      </w:r>
      <w:r>
        <w:rPr>
          <w:rFonts w:ascii="宋体" w:hAnsi="宋体"/>
          <w:color w:val="auto"/>
          <w:sz w:val="24"/>
          <w:szCs w:val="24"/>
        </w:rPr>
        <w:t>、不同供应商的</w:t>
      </w:r>
      <w:r>
        <w:rPr>
          <w:rFonts w:hint="eastAsia" w:ascii="宋体" w:hAnsi="宋体"/>
          <w:color w:val="auto"/>
          <w:sz w:val="24"/>
          <w:szCs w:val="24"/>
        </w:rPr>
        <w:t>谈判</w:t>
      </w:r>
      <w:r>
        <w:rPr>
          <w:rFonts w:ascii="宋体" w:hAnsi="宋体"/>
          <w:color w:val="auto"/>
          <w:sz w:val="24"/>
          <w:szCs w:val="24"/>
        </w:rPr>
        <w:t>响应文件异常一致或者报价呈规律性差异；</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7</w:t>
      </w:r>
      <w:r>
        <w:rPr>
          <w:rFonts w:ascii="宋体" w:hAnsi="宋体"/>
          <w:color w:val="auto"/>
          <w:sz w:val="24"/>
          <w:szCs w:val="24"/>
        </w:rPr>
        <w:t>、不同供应商的</w:t>
      </w:r>
      <w:r>
        <w:rPr>
          <w:rFonts w:hint="eastAsia" w:ascii="宋体" w:hAnsi="宋体"/>
          <w:color w:val="auto"/>
          <w:sz w:val="24"/>
          <w:szCs w:val="24"/>
        </w:rPr>
        <w:t>谈判</w:t>
      </w:r>
      <w:r>
        <w:rPr>
          <w:rFonts w:ascii="宋体" w:hAnsi="宋体"/>
          <w:color w:val="auto"/>
          <w:sz w:val="24"/>
          <w:szCs w:val="24"/>
        </w:rPr>
        <w:t>响应文件相互混装；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18、不符合法律、法规和本竞争性谈判文件规定的其他实质性要求。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（二）有下列情况之一的，本次谈判作为废标处理：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1、出现影响采购公正的违法、违规行为的；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2、谈判供应商的报价均超过了采购预算，谈判方不能支付的；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3、因重大变故，采购任务取消的。</w:t>
      </w:r>
    </w:p>
    <w:p>
      <w:pPr>
        <w:spacing w:line="360" w:lineRule="auto"/>
        <w:ind w:firstLine="480" w:firstLineChars="200"/>
        <w:rPr>
          <w:rFonts w:ascii="宋体" w:hAnsi="宋体"/>
          <w:color w:val="auto"/>
          <w:sz w:val="24"/>
          <w:szCs w:val="24"/>
        </w:rPr>
      </w:pPr>
      <w:r>
        <w:rPr>
          <w:rFonts w:ascii="宋体" w:hAnsi="宋体"/>
          <w:color w:val="auto"/>
          <w:sz w:val="24"/>
          <w:szCs w:val="24"/>
        </w:rPr>
        <w:t>4、法律、法规和磋商文件规定的其他导致评审结果无效的。</w:t>
      </w:r>
    </w:p>
    <w:p>
      <w:pPr>
        <w:spacing w:line="360" w:lineRule="auto"/>
        <w:outlineLvl w:val="1"/>
        <w:rPr>
          <w:rFonts w:ascii="宋体" w:hAnsi="宋体"/>
          <w:b/>
          <w:color w:val="auto"/>
          <w:sz w:val="24"/>
          <w:szCs w:val="24"/>
        </w:rPr>
      </w:pPr>
      <w:r>
        <w:rPr>
          <w:rFonts w:hint="eastAsia" w:ascii="宋体" w:hAnsi="宋体"/>
          <w:b/>
          <w:color w:val="auto"/>
          <w:sz w:val="24"/>
          <w:szCs w:val="24"/>
        </w:rPr>
        <w:t>十、谈判原则和方法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（一）谈判</w:t>
      </w:r>
      <w:r>
        <w:rPr>
          <w:rFonts w:ascii="宋体" w:hAnsi="宋体"/>
          <w:color w:val="auto"/>
          <w:sz w:val="24"/>
          <w:szCs w:val="24"/>
        </w:rPr>
        <w:t>原则。</w:t>
      </w:r>
      <w:r>
        <w:rPr>
          <w:rFonts w:hint="eastAsia" w:ascii="宋体" w:hAnsi="宋体"/>
          <w:color w:val="auto"/>
          <w:sz w:val="24"/>
          <w:szCs w:val="24"/>
        </w:rPr>
        <w:t>谈判</w:t>
      </w:r>
      <w:r>
        <w:rPr>
          <w:rFonts w:ascii="宋体" w:hAnsi="宋体"/>
          <w:color w:val="auto"/>
          <w:sz w:val="24"/>
          <w:szCs w:val="24"/>
        </w:rPr>
        <w:t>小组必须公平、公正、客观，不带任何倾向性和启发性；不得向外界透露任何与评审有关的内容；任何单位和个人不得干扰、影响评审的正常进行；</w:t>
      </w:r>
      <w:r>
        <w:rPr>
          <w:rFonts w:hint="eastAsia" w:ascii="宋体" w:hAnsi="宋体"/>
          <w:color w:val="auto"/>
          <w:sz w:val="24"/>
          <w:szCs w:val="24"/>
        </w:rPr>
        <w:t>谈判</w:t>
      </w:r>
      <w:r>
        <w:rPr>
          <w:rFonts w:ascii="宋体" w:hAnsi="宋体"/>
          <w:color w:val="auto"/>
          <w:sz w:val="24"/>
          <w:szCs w:val="24"/>
        </w:rPr>
        <w:t>小组及有关工作人员不得私下与供应商接触。</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highlight w:val="yellow"/>
          <w14:textFill>
            <w14:solidFill>
              <w14:schemeClr w14:val="tx1"/>
            </w14:solidFill>
          </w14:textFill>
        </w:rPr>
        <w:t>（二）谈判</w:t>
      </w:r>
      <w:r>
        <w:rPr>
          <w:rFonts w:ascii="宋体" w:hAnsi="宋体"/>
          <w:color w:val="000000" w:themeColor="text1"/>
          <w:sz w:val="24"/>
          <w:szCs w:val="24"/>
          <w:highlight w:val="yellow"/>
          <w14:textFill>
            <w14:solidFill>
              <w14:schemeClr w14:val="tx1"/>
            </w14:solidFill>
          </w14:textFill>
        </w:rPr>
        <w:t>办法。</w:t>
      </w:r>
      <w:r>
        <w:rPr>
          <w:rFonts w:hint="eastAsia" w:ascii="宋体" w:hAnsi="宋体"/>
          <w:color w:val="000000" w:themeColor="text1"/>
          <w:sz w:val="24"/>
          <w:szCs w:val="24"/>
          <w:highlight w:val="yellow"/>
          <w14:textFill>
            <w14:solidFill>
              <w14:schemeClr w14:val="tx1"/>
            </w14:solidFill>
          </w14:textFill>
        </w:rPr>
        <w:t>（</w:t>
      </w:r>
      <w:r>
        <w:rPr>
          <w:rFonts w:ascii="宋体" w:hAnsi="宋体"/>
          <w:color w:val="000000" w:themeColor="text1"/>
          <w:sz w:val="24"/>
          <w:szCs w:val="24"/>
          <w:highlight w:val="yellow"/>
          <w14:textFill>
            <w14:solidFill>
              <w14:schemeClr w14:val="tx1"/>
            </w14:solidFill>
          </w14:textFill>
        </w:rPr>
        <w:t>1）谈判小组应当从质量和服务均能满足</w:t>
      </w:r>
      <w:r>
        <w:rPr>
          <w:rFonts w:hint="eastAsia" w:ascii="宋体" w:hAnsi="宋体"/>
          <w:color w:val="000000" w:themeColor="text1"/>
          <w:sz w:val="24"/>
          <w:szCs w:val="24"/>
          <w:highlight w:val="yellow"/>
          <w14:textFill>
            <w14:solidFill>
              <w14:schemeClr w14:val="tx1"/>
            </w14:solidFill>
          </w14:textFill>
        </w:rPr>
        <w:t>谈判</w:t>
      </w:r>
      <w:r>
        <w:rPr>
          <w:rFonts w:ascii="宋体" w:hAnsi="宋体"/>
          <w:color w:val="000000" w:themeColor="text1"/>
          <w:sz w:val="24"/>
          <w:szCs w:val="24"/>
          <w:highlight w:val="yellow"/>
          <w14:textFill>
            <w14:solidFill>
              <w14:schemeClr w14:val="tx1"/>
            </w14:solidFill>
          </w14:textFill>
        </w:rPr>
        <w:t>文件实质性响应要求的供应商中，按照最终报价由低到高的顺序确定成交候选人。（2）</w:t>
      </w:r>
      <w:r>
        <w:rPr>
          <w:rFonts w:hint="eastAsia" w:ascii="宋体" w:hAnsi="宋体"/>
          <w:color w:val="000000" w:themeColor="text1"/>
          <w:sz w:val="24"/>
          <w:szCs w:val="24"/>
          <w:highlight w:val="yellow"/>
          <w:lang w:eastAsia="zh-CN"/>
          <w14:textFill>
            <w14:solidFill>
              <w14:schemeClr w14:val="tx1"/>
            </w14:solidFill>
          </w14:textFill>
        </w:rPr>
        <w:t>本次谈判采取第二次报价，以符合条件的企业最低价者中标；</w:t>
      </w:r>
      <w:r>
        <w:rPr>
          <w:rFonts w:ascii="宋体" w:hAnsi="宋体"/>
          <w:color w:val="000000" w:themeColor="text1"/>
          <w:sz w:val="24"/>
          <w:szCs w:val="24"/>
          <w:highlight w:val="yellow"/>
          <w14:textFill>
            <w14:solidFill>
              <w14:schemeClr w14:val="tx1"/>
            </w14:solidFill>
          </w14:textFill>
        </w:rPr>
        <w:t>如遇相同最低报价，则在相同最低报价中重新报价，直至产生最低报价者为成交单位。</w:t>
      </w:r>
    </w:p>
    <w:p>
      <w:pPr>
        <w:spacing w:line="360" w:lineRule="auto"/>
        <w:outlineLvl w:val="1"/>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十一、成交通知</w:t>
      </w:r>
    </w:p>
    <w:p>
      <w:pPr>
        <w:spacing w:line="360" w:lineRule="auto"/>
        <w:ind w:firstLine="480" w:firstLineChars="200"/>
        <w:rPr>
          <w:rFonts w:ascii="宋体" w:hAnsi="宋体"/>
          <w:color w:val="auto"/>
          <w:sz w:val="24"/>
        </w:rPr>
      </w:pPr>
      <w:r>
        <w:rPr>
          <w:rFonts w:hint="eastAsia" w:ascii="宋体" w:hAnsi="宋体"/>
          <w:color w:val="auto"/>
          <w:sz w:val="24"/>
        </w:rPr>
        <w:t>（一）谈判结果后，采购人将于七个工作日内在浙江省政府采购网上发布成交公告，公告期满，如无谈判响应商质疑，由采购人签发《成交通知书》。</w:t>
      </w:r>
    </w:p>
    <w:p>
      <w:pPr>
        <w:spacing w:line="360" w:lineRule="auto"/>
        <w:ind w:firstLine="480" w:firstLineChars="200"/>
        <w:rPr>
          <w:rFonts w:ascii="宋体" w:hAnsi="宋体"/>
          <w:color w:val="auto"/>
          <w:sz w:val="24"/>
        </w:rPr>
      </w:pPr>
      <w:r>
        <w:rPr>
          <w:rFonts w:hint="eastAsia" w:ascii="宋体" w:hAnsi="宋体"/>
          <w:color w:val="auto"/>
          <w:sz w:val="24"/>
        </w:rPr>
        <w:t>（二）成交通知书发出后，若成交供应商放弃成交，应当承担相应的法律责任，成交通知书对谈判方和成交供应商具有同等法律效力。</w:t>
      </w:r>
    </w:p>
    <w:p>
      <w:pPr>
        <w:widowControl/>
        <w:jc w:val="left"/>
        <w:rPr>
          <w:rFonts w:ascii="宋体" w:hAnsi="宋体" w:eastAsia="宋体" w:cs="Times New Roman"/>
          <w:color w:val="auto"/>
          <w:sz w:val="32"/>
        </w:rPr>
      </w:pPr>
      <w:bookmarkStart w:id="4" w:name="_Toc509569072"/>
      <w:r>
        <w:rPr>
          <w:rFonts w:ascii="宋体" w:hAnsi="宋体"/>
          <w:b/>
          <w:color w:val="auto"/>
        </w:rPr>
        <w:br w:type="page"/>
      </w:r>
    </w:p>
    <w:p>
      <w:pPr>
        <w:pStyle w:val="4"/>
        <w:rPr>
          <w:rFonts w:ascii="宋体" w:hAnsi="宋体"/>
          <w:b w:val="0"/>
          <w:color w:val="auto"/>
        </w:rPr>
      </w:pPr>
      <w:r>
        <w:rPr>
          <w:rFonts w:hint="eastAsia" w:ascii="宋体" w:hAnsi="宋体"/>
          <w:b w:val="0"/>
          <w:color w:val="auto"/>
        </w:rPr>
        <w:t>第四章  合同（参考）</w:t>
      </w:r>
      <w:bookmarkEnd w:id="4"/>
    </w:p>
    <w:p>
      <w:pPr>
        <w:spacing w:line="480" w:lineRule="auto"/>
        <w:jc w:val="center"/>
        <w:rPr>
          <w:rFonts w:ascii="宋体" w:hAnsi="宋体"/>
          <w:color w:val="auto"/>
          <w:sz w:val="24"/>
        </w:rPr>
      </w:pPr>
      <w:r>
        <w:rPr>
          <w:rFonts w:hint="eastAsia" w:ascii="宋体" w:hAnsi="宋体"/>
          <w:color w:val="auto"/>
          <w:sz w:val="24"/>
        </w:rPr>
        <w:t>（本合同为合同样稿参考，最终稿由三方协商后确定）</w:t>
      </w:r>
    </w:p>
    <w:p>
      <w:pPr>
        <w:spacing w:line="360" w:lineRule="auto"/>
        <w:ind w:firstLine="480" w:firstLineChars="200"/>
        <w:rPr>
          <w:rFonts w:ascii="宋体" w:hAnsi="宋体"/>
          <w:color w:val="auto"/>
          <w:sz w:val="24"/>
        </w:rPr>
      </w:pPr>
      <w:r>
        <w:rPr>
          <w:rFonts w:hint="eastAsia" w:ascii="宋体" w:hAnsi="宋体"/>
          <w:color w:val="auto"/>
          <w:sz w:val="24"/>
        </w:rPr>
        <w:t xml:space="preserve">                                              谈判编号: </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 xml:space="preserve">甲  方（采购方）： </w:t>
      </w:r>
    </w:p>
    <w:p>
      <w:pPr>
        <w:spacing w:line="360" w:lineRule="auto"/>
        <w:ind w:firstLine="480" w:firstLineChars="200"/>
        <w:rPr>
          <w:rFonts w:ascii="宋体" w:hAnsi="宋体"/>
          <w:color w:val="auto"/>
          <w:sz w:val="24"/>
        </w:rPr>
      </w:pPr>
      <w:r>
        <w:rPr>
          <w:rFonts w:hint="eastAsia" w:ascii="宋体" w:hAnsi="宋体"/>
          <w:color w:val="auto"/>
          <w:sz w:val="24"/>
        </w:rPr>
        <w:t xml:space="preserve">乙  方（服务方）： </w:t>
      </w:r>
    </w:p>
    <w:p>
      <w:pPr>
        <w:spacing w:line="360" w:lineRule="auto"/>
        <w:ind w:firstLine="480" w:firstLineChars="200"/>
        <w:rPr>
          <w:rFonts w:ascii="宋体" w:hAnsi="宋体"/>
          <w:color w:val="auto"/>
          <w:sz w:val="24"/>
        </w:rPr>
      </w:pPr>
      <w:r>
        <w:rPr>
          <w:rFonts w:hint="eastAsia" w:ascii="宋体" w:hAnsi="宋体"/>
          <w:color w:val="auto"/>
          <w:sz w:val="24"/>
        </w:rPr>
        <w:t>丙  方（代理机构）：</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经过竞争性谈判采购，确定</w:t>
      </w:r>
      <w:r>
        <w:rPr>
          <w:rFonts w:hint="eastAsia" w:ascii="宋体" w:hAnsi="宋体"/>
          <w:color w:val="auto"/>
          <w:sz w:val="24"/>
          <w:u w:val="single"/>
        </w:rPr>
        <w:t xml:space="preserve">         </w:t>
      </w:r>
      <w:r>
        <w:rPr>
          <w:rFonts w:hint="eastAsia" w:ascii="宋体" w:hAnsi="宋体"/>
          <w:color w:val="auto"/>
          <w:sz w:val="24"/>
        </w:rPr>
        <w:t>（成交单位） 为采购编号</w:t>
      </w:r>
      <w:r>
        <w:rPr>
          <w:rFonts w:hint="eastAsia" w:ascii="宋体" w:hAnsi="宋体"/>
          <w:color w:val="auto"/>
          <w:sz w:val="24"/>
          <w:u w:val="single"/>
        </w:rPr>
        <w:t xml:space="preserve">：        </w:t>
      </w:r>
      <w:r>
        <w:rPr>
          <w:rFonts w:hint="eastAsia" w:ascii="宋体" w:hAnsi="宋体"/>
          <w:color w:val="auto"/>
          <w:sz w:val="24"/>
        </w:rPr>
        <w:t>标项</w:t>
      </w:r>
      <w:r>
        <w:rPr>
          <w:rFonts w:hint="eastAsia" w:ascii="宋体" w:hAnsi="宋体"/>
          <w:color w:val="auto"/>
          <w:sz w:val="24"/>
          <w:u w:val="single"/>
        </w:rPr>
        <w:t xml:space="preserve"> 一  </w:t>
      </w:r>
      <w:r>
        <w:rPr>
          <w:rFonts w:hint="eastAsia" w:ascii="宋体" w:hAnsi="宋体"/>
          <w:color w:val="auto"/>
          <w:sz w:val="24"/>
        </w:rPr>
        <w:t>的成交供应商，甲、乙、鉴证三方经协商，达成以下条款：</w:t>
      </w:r>
    </w:p>
    <w:p>
      <w:pPr>
        <w:spacing w:line="360" w:lineRule="auto"/>
        <w:ind w:firstLine="480" w:firstLineChars="200"/>
        <w:rPr>
          <w:rFonts w:ascii="宋体" w:hAnsi="宋体"/>
          <w:color w:val="auto"/>
          <w:sz w:val="24"/>
          <w:szCs w:val="24"/>
        </w:rPr>
      </w:pPr>
      <w:r>
        <w:rPr>
          <w:rFonts w:ascii="宋体" w:hAnsi="宋体"/>
          <w:color w:val="auto"/>
          <w:sz w:val="24"/>
          <w:szCs w:val="24"/>
        </w:rPr>
        <w:t>一、服务内容</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ascii="宋体" w:hAnsi="宋体"/>
          <w:color w:val="auto"/>
          <w:sz w:val="24"/>
          <w:szCs w:val="24"/>
        </w:rPr>
        <w:t>二、合同金额</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ascii="宋体" w:hAnsi="宋体"/>
          <w:color w:val="auto"/>
          <w:sz w:val="24"/>
          <w:szCs w:val="24"/>
        </w:rPr>
        <w:t>本合同金额为（大写）：_______________________元（￥______元）人民币。</w:t>
      </w:r>
    </w:p>
    <w:p>
      <w:pPr>
        <w:spacing w:line="360" w:lineRule="auto"/>
        <w:ind w:firstLine="480" w:firstLineChars="200"/>
        <w:rPr>
          <w:rFonts w:ascii="宋体" w:hAnsi="宋体"/>
          <w:color w:val="auto"/>
          <w:sz w:val="24"/>
          <w:szCs w:val="24"/>
        </w:rPr>
      </w:pPr>
      <w:r>
        <w:rPr>
          <w:rFonts w:ascii="宋体" w:hAnsi="宋体"/>
          <w:color w:val="auto"/>
          <w:sz w:val="24"/>
          <w:szCs w:val="24"/>
        </w:rPr>
        <w:t>三、技术资料</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乙方应按招标文件规定的时间向甲方提供有关技术资料。</w:t>
      </w:r>
    </w:p>
    <w:p>
      <w:pPr>
        <w:spacing w:line="360" w:lineRule="auto"/>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0" w:firstLineChars="200"/>
        <w:rPr>
          <w:rFonts w:ascii="宋体" w:hAnsi="宋体"/>
          <w:color w:val="auto"/>
          <w:sz w:val="24"/>
          <w:szCs w:val="24"/>
        </w:rPr>
      </w:pPr>
      <w:r>
        <w:rPr>
          <w:rFonts w:ascii="宋体" w:hAnsi="宋体"/>
          <w:color w:val="auto"/>
          <w:sz w:val="24"/>
          <w:szCs w:val="24"/>
        </w:rPr>
        <w:t>四、知识产权</w:t>
      </w:r>
    </w:p>
    <w:p>
      <w:pPr>
        <w:spacing w:line="360" w:lineRule="auto"/>
        <w:ind w:firstLine="480" w:firstLineChars="200"/>
        <w:rPr>
          <w:rFonts w:ascii="宋体" w:hAnsi="宋体"/>
          <w:color w:val="auto"/>
          <w:sz w:val="24"/>
          <w:szCs w:val="24"/>
        </w:rPr>
      </w:pPr>
      <w:r>
        <w:rPr>
          <w:rFonts w:ascii="宋体" w:hAnsi="宋体"/>
          <w:color w:val="auto"/>
          <w:sz w:val="24"/>
          <w:szCs w:val="24"/>
        </w:rPr>
        <w:t>乙方应保证提供服务过程中不会侵犯任何第三方的知识产权。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五</w:t>
      </w:r>
      <w:r>
        <w:rPr>
          <w:rFonts w:ascii="宋体" w:hAnsi="宋体"/>
          <w:color w:val="auto"/>
          <w:sz w:val="24"/>
          <w:szCs w:val="24"/>
        </w:rPr>
        <w:t>、履约保证金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如需合同履约保证金请合同双方在签</w:t>
      </w:r>
      <w:r>
        <w:rPr>
          <w:rFonts w:hint="eastAsia" w:ascii="宋体" w:hAnsi="宋体" w:eastAsia="宋体"/>
          <w:color w:val="auto"/>
          <w:sz w:val="24"/>
          <w:szCs w:val="24"/>
          <w:lang w:eastAsia="zh-CN"/>
        </w:rPr>
        <w:t>订</w:t>
      </w:r>
      <w:r>
        <w:rPr>
          <w:rFonts w:hint="eastAsia" w:ascii="宋体" w:hAnsi="宋体"/>
          <w:color w:val="auto"/>
          <w:sz w:val="24"/>
          <w:szCs w:val="24"/>
        </w:rPr>
        <w:t>合同时商定。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六、转包或分包</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.本合同范围的服务，应由</w:t>
      </w:r>
      <w:r>
        <w:rPr>
          <w:rFonts w:ascii="宋体" w:hAnsi="宋体"/>
          <w:color w:val="auto"/>
          <w:sz w:val="24"/>
          <w:szCs w:val="24"/>
        </w:rPr>
        <w:t>乙</w:t>
      </w:r>
      <w:r>
        <w:rPr>
          <w:rFonts w:hint="eastAsia" w:ascii="宋体" w:hAnsi="宋体"/>
          <w:color w:val="auto"/>
          <w:sz w:val="24"/>
          <w:szCs w:val="24"/>
        </w:rPr>
        <w:t>方直接供应，不得转让他人供应；</w:t>
      </w:r>
    </w:p>
    <w:p>
      <w:pPr>
        <w:spacing w:line="360" w:lineRule="auto"/>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 xml:space="preserve"> </w:t>
      </w:r>
      <w:r>
        <w:rPr>
          <w:rFonts w:hint="eastAsia" w:ascii="宋体" w:hAnsi="宋体"/>
          <w:color w:val="auto"/>
          <w:sz w:val="24"/>
          <w:szCs w:val="24"/>
        </w:rPr>
        <w:t>除非得到甲方的书面同意，</w:t>
      </w:r>
      <w:r>
        <w:rPr>
          <w:rFonts w:ascii="宋体" w:hAnsi="宋体"/>
          <w:color w:val="auto"/>
          <w:sz w:val="24"/>
          <w:szCs w:val="24"/>
        </w:rPr>
        <w:t>乙</w:t>
      </w:r>
      <w:r>
        <w:rPr>
          <w:rFonts w:hint="eastAsia" w:ascii="宋体" w:hAnsi="宋体"/>
          <w:color w:val="auto"/>
          <w:sz w:val="24"/>
          <w:szCs w:val="24"/>
        </w:rPr>
        <w:t>方不得将本合同范围的服务全部或部分分包给他人供应；</w:t>
      </w:r>
    </w:p>
    <w:p>
      <w:pPr>
        <w:spacing w:line="360" w:lineRule="auto"/>
        <w:ind w:firstLine="480" w:firstLineChars="20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.如有转让和未经甲方同意的分包行为，甲方有权解除合同，没收履约保证金并追究乙方的违约责任。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七</w:t>
      </w:r>
      <w:r>
        <w:rPr>
          <w:rFonts w:ascii="宋体" w:hAnsi="宋体"/>
          <w:color w:val="auto"/>
          <w:sz w:val="24"/>
          <w:szCs w:val="24"/>
        </w:rPr>
        <w:t>、服务质量保证期 (选用)</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 xml:space="preserve"> 服务质量保证期     年。（自验收合格之日起计）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八</w:t>
      </w:r>
      <w:r>
        <w:rPr>
          <w:rFonts w:ascii="宋体" w:hAnsi="宋体"/>
          <w:color w:val="auto"/>
          <w:sz w:val="24"/>
          <w:szCs w:val="24"/>
        </w:rPr>
        <w:t>、合同履行时间、履行方式及履行地点</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 xml:space="preserve"> 履行时间：</w:t>
      </w:r>
    </w:p>
    <w:p>
      <w:pPr>
        <w:spacing w:line="360" w:lineRule="auto"/>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 xml:space="preserve"> 履行方式：</w:t>
      </w:r>
    </w:p>
    <w:p>
      <w:pPr>
        <w:spacing w:line="360" w:lineRule="auto"/>
        <w:ind w:firstLine="480" w:firstLineChars="20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 xml:space="preserve"> 履行地点：</w:t>
      </w:r>
      <w:r>
        <w:rPr>
          <w:rFonts w:hint="eastAsia" w:ascii="宋体" w:hAnsi="宋体"/>
          <w:color w:val="auto"/>
          <w:sz w:val="24"/>
          <w:szCs w:val="24"/>
        </w:rPr>
        <w:t>由招标人指定地点。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九</w:t>
      </w:r>
      <w:r>
        <w:rPr>
          <w:rFonts w:ascii="宋体" w:hAnsi="宋体"/>
          <w:color w:val="auto"/>
          <w:sz w:val="24"/>
          <w:szCs w:val="24"/>
        </w:rPr>
        <w:t>、款项支付</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 付款方式：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十、税费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本合同执行中相关的一切税费均由</w:t>
      </w:r>
      <w:r>
        <w:rPr>
          <w:rFonts w:ascii="宋体" w:hAnsi="宋体"/>
          <w:color w:val="auto"/>
          <w:sz w:val="24"/>
          <w:szCs w:val="24"/>
        </w:rPr>
        <w:t>乙</w:t>
      </w:r>
      <w:r>
        <w:rPr>
          <w:rFonts w:hint="eastAsia" w:ascii="宋体" w:hAnsi="宋体"/>
          <w:color w:val="auto"/>
          <w:sz w:val="24"/>
          <w:szCs w:val="24"/>
        </w:rPr>
        <w:t>方负担。</w:t>
      </w:r>
    </w:p>
    <w:p>
      <w:pPr>
        <w:spacing w:line="360" w:lineRule="auto"/>
        <w:ind w:firstLine="480" w:firstLineChars="200"/>
        <w:rPr>
          <w:rFonts w:ascii="宋体" w:hAnsi="宋体"/>
          <w:color w:val="auto"/>
          <w:sz w:val="24"/>
          <w:szCs w:val="24"/>
        </w:rPr>
      </w:pPr>
      <w:r>
        <w:rPr>
          <w:rFonts w:ascii="宋体" w:hAnsi="宋体"/>
          <w:color w:val="auto"/>
          <w:sz w:val="24"/>
          <w:szCs w:val="24"/>
        </w:rPr>
        <w:t>十</w:t>
      </w:r>
      <w:r>
        <w:rPr>
          <w:rFonts w:hint="eastAsia" w:ascii="宋体" w:hAnsi="宋体"/>
          <w:color w:val="auto"/>
          <w:sz w:val="24"/>
          <w:szCs w:val="24"/>
        </w:rPr>
        <w:t>一</w:t>
      </w:r>
      <w:r>
        <w:rPr>
          <w:rFonts w:ascii="宋体" w:hAnsi="宋体"/>
          <w:color w:val="auto"/>
          <w:sz w:val="24"/>
          <w:szCs w:val="24"/>
        </w:rPr>
        <w:t>、质量保证及后续服务</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 xml:space="preserve"> 乙方应按招标文件规定向甲方提供服务。</w:t>
      </w:r>
    </w:p>
    <w:p>
      <w:pPr>
        <w:spacing w:line="360" w:lineRule="auto"/>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 xml:space="preserve"> 乙方提供的服务成果在服务质量保证期内发生故障，乙方应负责免费提供后续服务。对达不到要求者，根据实际情况，经双方协商，可按以下办法处理：</w:t>
      </w:r>
    </w:p>
    <w:p>
      <w:pPr>
        <w:spacing w:line="360" w:lineRule="auto"/>
        <w:ind w:firstLine="480" w:firstLineChars="200"/>
        <w:rPr>
          <w:rFonts w:ascii="宋体" w:hAnsi="宋体"/>
          <w:color w:val="auto"/>
          <w:sz w:val="24"/>
          <w:szCs w:val="24"/>
        </w:rPr>
      </w:pPr>
      <w:r>
        <w:rPr>
          <w:rFonts w:ascii="宋体" w:hAnsi="宋体"/>
          <w:color w:val="auto"/>
          <w:sz w:val="24"/>
          <w:szCs w:val="24"/>
        </w:rPr>
        <w:t>⑴重做：由乙方承担所发生的全部费用。</w:t>
      </w:r>
    </w:p>
    <w:p>
      <w:pPr>
        <w:spacing w:line="360" w:lineRule="auto"/>
        <w:ind w:firstLine="480" w:firstLineChars="200"/>
        <w:rPr>
          <w:rFonts w:ascii="宋体" w:hAnsi="宋体"/>
          <w:color w:val="auto"/>
          <w:sz w:val="24"/>
          <w:szCs w:val="24"/>
        </w:rPr>
      </w:pPr>
      <w:r>
        <w:rPr>
          <w:rFonts w:ascii="宋体" w:hAnsi="宋体"/>
          <w:color w:val="auto"/>
          <w:sz w:val="24"/>
          <w:szCs w:val="24"/>
        </w:rPr>
        <w:t>⑵贬值处理：由甲乙双方合议定价。</w:t>
      </w:r>
    </w:p>
    <w:p>
      <w:pPr>
        <w:spacing w:line="360" w:lineRule="auto"/>
        <w:ind w:firstLine="480" w:firstLineChars="200"/>
        <w:rPr>
          <w:rFonts w:ascii="宋体" w:hAnsi="宋体"/>
          <w:color w:val="auto"/>
          <w:sz w:val="24"/>
          <w:szCs w:val="24"/>
        </w:rPr>
      </w:pPr>
      <w:r>
        <w:rPr>
          <w:rFonts w:ascii="宋体" w:hAnsi="宋体"/>
          <w:color w:val="auto"/>
          <w:sz w:val="24"/>
          <w:szCs w:val="24"/>
        </w:rPr>
        <w:t>⑶解除合同。</w:t>
      </w:r>
    </w:p>
    <w:p>
      <w:pPr>
        <w:spacing w:line="360" w:lineRule="auto"/>
        <w:ind w:firstLine="480" w:firstLineChars="20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 xml:space="preserve"> 如在使用过程中发生问题，乙方在接到甲方通知后在</w:t>
      </w:r>
      <w:r>
        <w:rPr>
          <w:rFonts w:hint="eastAsia" w:ascii="宋体" w:hAnsi="宋体"/>
          <w:color w:val="auto"/>
          <w:sz w:val="24"/>
          <w:szCs w:val="24"/>
          <w:u w:val="single"/>
        </w:rPr>
        <w:t xml:space="preserve">    </w:t>
      </w:r>
      <w:r>
        <w:rPr>
          <w:rFonts w:ascii="宋体" w:hAnsi="宋体"/>
          <w:color w:val="auto"/>
          <w:sz w:val="24"/>
          <w:szCs w:val="24"/>
        </w:rPr>
        <w:t>小时内到达甲方现场。</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在服务质量保证期内，乙方应对出现的质量及安全问题负责处理解决并承担</w:t>
      </w:r>
    </w:p>
    <w:p>
      <w:pPr>
        <w:spacing w:line="360" w:lineRule="auto"/>
        <w:ind w:firstLine="480" w:firstLineChars="200"/>
        <w:rPr>
          <w:rFonts w:ascii="宋体" w:hAnsi="宋体"/>
          <w:color w:val="auto"/>
          <w:sz w:val="24"/>
          <w:szCs w:val="24"/>
        </w:rPr>
      </w:pPr>
      <w:r>
        <w:rPr>
          <w:rFonts w:ascii="宋体" w:hAnsi="宋体"/>
          <w:color w:val="auto"/>
          <w:sz w:val="24"/>
          <w:szCs w:val="24"/>
        </w:rPr>
        <w:t>一切费用。</w:t>
      </w:r>
    </w:p>
    <w:p>
      <w:pPr>
        <w:spacing w:line="360" w:lineRule="auto"/>
        <w:ind w:firstLine="480" w:firstLineChars="200"/>
        <w:rPr>
          <w:rFonts w:ascii="宋体" w:hAnsi="宋体"/>
          <w:color w:val="auto"/>
          <w:sz w:val="24"/>
          <w:szCs w:val="24"/>
        </w:rPr>
      </w:pPr>
      <w:r>
        <w:rPr>
          <w:rFonts w:ascii="宋体" w:hAnsi="宋体"/>
          <w:color w:val="auto"/>
          <w:sz w:val="24"/>
          <w:szCs w:val="24"/>
        </w:rPr>
        <w:t>十</w:t>
      </w:r>
      <w:r>
        <w:rPr>
          <w:rFonts w:hint="eastAsia" w:ascii="宋体" w:hAnsi="宋体"/>
          <w:color w:val="auto"/>
          <w:sz w:val="24"/>
          <w:szCs w:val="24"/>
        </w:rPr>
        <w:t>二</w:t>
      </w:r>
      <w:r>
        <w:rPr>
          <w:rFonts w:ascii="宋体" w:hAnsi="宋体"/>
          <w:color w:val="auto"/>
          <w:sz w:val="24"/>
          <w:szCs w:val="24"/>
        </w:rPr>
        <w:t>、违约责任</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甲方无正当理由拒收接受服务的，甲方向乙方偿付合同款项百分之五作为违约金。</w:t>
      </w:r>
    </w:p>
    <w:p>
      <w:pPr>
        <w:spacing w:line="360" w:lineRule="auto"/>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甲方无故逾期验收和办理款项支付手续的,甲方应按逾期付款总额每日万分之</w:t>
      </w:r>
    </w:p>
    <w:p>
      <w:pPr>
        <w:spacing w:line="360" w:lineRule="auto"/>
        <w:ind w:firstLine="480" w:firstLineChars="200"/>
        <w:rPr>
          <w:rFonts w:ascii="宋体" w:hAnsi="宋体"/>
          <w:color w:val="auto"/>
          <w:sz w:val="24"/>
          <w:szCs w:val="24"/>
        </w:rPr>
      </w:pPr>
      <w:r>
        <w:rPr>
          <w:rFonts w:ascii="宋体" w:hAnsi="宋体"/>
          <w:color w:val="auto"/>
          <w:sz w:val="24"/>
          <w:szCs w:val="24"/>
        </w:rPr>
        <w:t>五向乙方支付违约金。</w:t>
      </w:r>
    </w:p>
    <w:p>
      <w:pPr>
        <w:spacing w:line="360" w:lineRule="auto"/>
        <w:ind w:firstLine="480" w:firstLineChars="20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 xml:space="preserve"> 乙方</w:t>
      </w:r>
      <w:r>
        <w:rPr>
          <w:rFonts w:hint="eastAsia" w:ascii="宋体" w:hAnsi="宋体"/>
          <w:color w:val="auto"/>
          <w:sz w:val="24"/>
          <w:szCs w:val="24"/>
        </w:rPr>
        <w:t>未能如</w:t>
      </w:r>
      <w:r>
        <w:rPr>
          <w:rFonts w:ascii="宋体" w:hAnsi="宋体"/>
          <w:color w:val="auto"/>
          <w:sz w:val="24"/>
          <w:szCs w:val="24"/>
        </w:rPr>
        <w:t>期提供服务的，每日向甲方支付</w:t>
      </w:r>
      <w:r>
        <w:rPr>
          <w:rFonts w:hint="eastAsia" w:ascii="宋体" w:hAnsi="宋体"/>
          <w:color w:val="auto"/>
          <w:sz w:val="24"/>
          <w:szCs w:val="24"/>
        </w:rPr>
        <w:t>合同款项的</w:t>
      </w:r>
      <w:r>
        <w:rPr>
          <w:rFonts w:ascii="宋体" w:hAnsi="宋体"/>
          <w:color w:val="auto"/>
          <w:sz w:val="24"/>
          <w:szCs w:val="24"/>
        </w:rPr>
        <w:t>千分之六</w:t>
      </w:r>
      <w:r>
        <w:rPr>
          <w:rFonts w:hint="eastAsia" w:ascii="宋体" w:hAnsi="宋体"/>
          <w:color w:val="auto"/>
          <w:sz w:val="24"/>
          <w:szCs w:val="24"/>
        </w:rPr>
        <w:t>作为</w:t>
      </w:r>
      <w:r>
        <w:rPr>
          <w:rFonts w:ascii="宋体" w:hAnsi="宋体"/>
          <w:color w:val="auto"/>
          <w:sz w:val="24"/>
          <w:szCs w:val="24"/>
        </w:rPr>
        <w:t>违约金。乙方超过约定日期10个工作日</w:t>
      </w:r>
      <w:r>
        <w:rPr>
          <w:rFonts w:hint="eastAsia" w:ascii="宋体" w:hAnsi="宋体"/>
          <w:color w:val="auto"/>
          <w:sz w:val="24"/>
          <w:szCs w:val="24"/>
        </w:rPr>
        <w:t>仍</w:t>
      </w:r>
      <w:r>
        <w:rPr>
          <w:rFonts w:ascii="宋体" w:hAnsi="宋体"/>
          <w:color w:val="auto"/>
          <w:sz w:val="24"/>
          <w:szCs w:val="24"/>
        </w:rPr>
        <w:t>不能</w:t>
      </w:r>
      <w:r>
        <w:rPr>
          <w:rFonts w:hint="eastAsia" w:ascii="宋体" w:hAnsi="宋体"/>
          <w:color w:val="auto"/>
          <w:sz w:val="24"/>
          <w:szCs w:val="24"/>
        </w:rPr>
        <w:t>提供服务</w:t>
      </w:r>
      <w:r>
        <w:rPr>
          <w:rFonts w:ascii="宋体" w:hAnsi="宋体"/>
          <w:color w:val="auto"/>
          <w:sz w:val="24"/>
          <w:szCs w:val="24"/>
        </w:rPr>
        <w:t>的，甲方可解除本合同。乙方因</w:t>
      </w:r>
      <w:r>
        <w:rPr>
          <w:rFonts w:hint="eastAsia" w:ascii="宋体" w:hAnsi="宋体"/>
          <w:color w:val="auto"/>
          <w:sz w:val="24"/>
          <w:szCs w:val="24"/>
        </w:rPr>
        <w:t>未能如</w:t>
      </w:r>
      <w:r>
        <w:rPr>
          <w:rFonts w:ascii="宋体" w:hAnsi="宋体"/>
          <w:color w:val="auto"/>
          <w:sz w:val="24"/>
          <w:szCs w:val="24"/>
        </w:rPr>
        <w:t>期提供服务或因其他违约行为导致甲方解除合同的，乙方应向甲方支付合同总值5%的违约金，如造成甲方损失超过违约金的，超出部分由乙方继续承担赔偿责任。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 其他约定：</w:t>
      </w:r>
    </w:p>
    <w:p>
      <w:pPr>
        <w:spacing w:line="360" w:lineRule="auto"/>
        <w:ind w:firstLine="480" w:firstLineChars="200"/>
        <w:rPr>
          <w:rFonts w:ascii="宋体" w:hAnsi="宋体"/>
          <w:color w:val="auto"/>
          <w:sz w:val="24"/>
          <w:szCs w:val="24"/>
        </w:rPr>
      </w:pPr>
      <w:r>
        <w:rPr>
          <w:rFonts w:ascii="宋体" w:hAnsi="宋体"/>
          <w:color w:val="auto"/>
          <w:sz w:val="24"/>
          <w:szCs w:val="24"/>
        </w:rPr>
        <w:t>十</w:t>
      </w:r>
      <w:r>
        <w:rPr>
          <w:rFonts w:hint="eastAsia" w:ascii="宋体" w:hAnsi="宋体"/>
          <w:color w:val="auto"/>
          <w:sz w:val="24"/>
          <w:szCs w:val="24"/>
        </w:rPr>
        <w:t>三</w:t>
      </w:r>
      <w:r>
        <w:rPr>
          <w:rFonts w:ascii="宋体" w:hAnsi="宋体"/>
          <w:color w:val="auto"/>
          <w:sz w:val="24"/>
          <w:szCs w:val="24"/>
        </w:rPr>
        <w:t>、不可抗力事件处理</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在合同有效期内，任何一方因不可抗力事件导致不能履行合同，则合同履行期可延长，其延长期与不可抗力影响期相同。</w:t>
      </w:r>
    </w:p>
    <w:p>
      <w:pPr>
        <w:spacing w:line="360" w:lineRule="auto"/>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不可抗力事件发生后，应立即通知对方，并寄送有关权威机构出具的证明。</w:t>
      </w:r>
    </w:p>
    <w:p>
      <w:pPr>
        <w:spacing w:line="360" w:lineRule="auto"/>
        <w:ind w:firstLine="480" w:firstLineChars="200"/>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不可抗力事件延续120天以上，双方应通过友好协商，确定是否继续履行合同。</w:t>
      </w:r>
    </w:p>
    <w:p>
      <w:pPr>
        <w:spacing w:line="360" w:lineRule="auto"/>
        <w:ind w:firstLine="480" w:firstLineChars="200"/>
        <w:rPr>
          <w:rFonts w:ascii="宋体" w:hAnsi="宋体"/>
          <w:color w:val="auto"/>
          <w:sz w:val="24"/>
          <w:szCs w:val="24"/>
        </w:rPr>
      </w:pPr>
      <w:r>
        <w:rPr>
          <w:rFonts w:ascii="宋体" w:hAnsi="宋体"/>
          <w:color w:val="auto"/>
          <w:sz w:val="24"/>
          <w:szCs w:val="24"/>
        </w:rPr>
        <w:t>十</w:t>
      </w:r>
      <w:r>
        <w:rPr>
          <w:rFonts w:hint="eastAsia" w:ascii="宋体" w:hAnsi="宋体"/>
          <w:color w:val="auto"/>
          <w:sz w:val="24"/>
          <w:szCs w:val="24"/>
        </w:rPr>
        <w:t>四</w:t>
      </w:r>
      <w:r>
        <w:rPr>
          <w:rFonts w:ascii="宋体" w:hAnsi="宋体"/>
          <w:color w:val="auto"/>
          <w:sz w:val="24"/>
          <w:szCs w:val="24"/>
        </w:rPr>
        <w:t>、诉讼</w:t>
      </w:r>
    </w:p>
    <w:p>
      <w:pPr>
        <w:spacing w:line="360" w:lineRule="auto"/>
        <w:ind w:firstLine="480" w:firstLineChars="200"/>
        <w:rPr>
          <w:rFonts w:ascii="宋体" w:hAnsi="宋体"/>
          <w:color w:val="auto"/>
          <w:sz w:val="24"/>
          <w:szCs w:val="24"/>
        </w:rPr>
      </w:pPr>
      <w:r>
        <w:rPr>
          <w:rFonts w:ascii="宋体" w:hAnsi="宋体"/>
          <w:color w:val="auto"/>
          <w:sz w:val="24"/>
          <w:szCs w:val="24"/>
        </w:rPr>
        <w:t>双方在执行合同中所发生的一切争议，应通过协商解决。如协商不成，</w:t>
      </w:r>
      <w:r>
        <w:rPr>
          <w:rFonts w:hint="eastAsia" w:ascii="宋体" w:hAnsi="宋体"/>
          <w:color w:val="auto"/>
          <w:sz w:val="24"/>
          <w:szCs w:val="24"/>
        </w:rPr>
        <w:t>可向甲方所在地经济仲裁机构提请仲裁或向人民法院提起诉讼。</w:t>
      </w:r>
    </w:p>
    <w:p>
      <w:pPr>
        <w:spacing w:line="360" w:lineRule="auto"/>
        <w:ind w:firstLine="480" w:firstLineChars="200"/>
        <w:rPr>
          <w:rFonts w:ascii="宋体" w:hAnsi="宋体"/>
          <w:color w:val="auto"/>
          <w:sz w:val="24"/>
          <w:szCs w:val="24"/>
        </w:rPr>
      </w:pPr>
      <w:r>
        <w:rPr>
          <w:rFonts w:ascii="宋体" w:hAnsi="宋体"/>
          <w:color w:val="auto"/>
          <w:sz w:val="24"/>
          <w:szCs w:val="24"/>
        </w:rPr>
        <w:t>十</w:t>
      </w:r>
      <w:r>
        <w:rPr>
          <w:rFonts w:hint="eastAsia" w:ascii="宋体" w:hAnsi="宋体"/>
          <w:color w:val="auto"/>
          <w:sz w:val="24"/>
          <w:szCs w:val="24"/>
        </w:rPr>
        <w:t>五</w:t>
      </w:r>
      <w:r>
        <w:rPr>
          <w:rFonts w:ascii="宋体" w:hAnsi="宋体"/>
          <w:color w:val="auto"/>
          <w:sz w:val="24"/>
          <w:szCs w:val="24"/>
        </w:rPr>
        <w:t>、合同生效及其它</w:t>
      </w:r>
    </w:p>
    <w:p>
      <w:pPr>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 xml:space="preserve"> 合同经双方法定代表人或授权代表签字并加盖单位公章后生效。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2. </w:t>
      </w:r>
      <w:r>
        <w:rPr>
          <w:rFonts w:ascii="宋体" w:hAnsi="宋体"/>
          <w:color w:val="auto"/>
          <w:sz w:val="24"/>
          <w:szCs w:val="24"/>
        </w:rPr>
        <w:t>本合同未尽事宜，遵照《合同法》有关条文执行。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3、本合同正本一式肆份，具有同等法律效力，甲、乙、代理机构三方各执壹份，采购办执壹份。</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甲方（盖章）：                            乙方（盖章）： </w:t>
      </w:r>
    </w:p>
    <w:p>
      <w:pPr>
        <w:spacing w:line="360" w:lineRule="auto"/>
        <w:ind w:firstLine="600" w:firstLineChars="250"/>
        <w:rPr>
          <w:rFonts w:ascii="宋体" w:hAnsi="宋体"/>
          <w:color w:val="auto"/>
          <w:sz w:val="24"/>
          <w:szCs w:val="24"/>
        </w:rPr>
      </w:pPr>
      <w:r>
        <w:rPr>
          <w:rFonts w:hint="eastAsia" w:ascii="宋体" w:hAnsi="宋体"/>
          <w:color w:val="auto"/>
          <w:sz w:val="24"/>
          <w:szCs w:val="24"/>
        </w:rPr>
        <w:t xml:space="preserve">地址：                                   地址： </w:t>
      </w:r>
    </w:p>
    <w:p>
      <w:pPr>
        <w:spacing w:line="360" w:lineRule="auto"/>
        <w:ind w:firstLine="600" w:firstLineChars="250"/>
        <w:rPr>
          <w:rFonts w:ascii="宋体" w:hAnsi="宋体"/>
          <w:color w:val="auto"/>
          <w:sz w:val="24"/>
          <w:szCs w:val="24"/>
        </w:rPr>
      </w:pPr>
      <w:r>
        <w:rPr>
          <w:rFonts w:hint="eastAsia" w:ascii="宋体" w:hAnsi="宋体"/>
          <w:color w:val="auto"/>
          <w:sz w:val="24"/>
          <w:szCs w:val="24"/>
        </w:rPr>
        <w:t>法定（授权）代表人：                     法定（授权）代表人：</w:t>
      </w:r>
    </w:p>
    <w:p>
      <w:pPr>
        <w:spacing w:line="360" w:lineRule="auto"/>
        <w:ind w:firstLine="600" w:firstLineChars="250"/>
        <w:rPr>
          <w:rFonts w:ascii="宋体" w:hAnsi="宋体"/>
          <w:color w:val="auto"/>
          <w:sz w:val="24"/>
          <w:szCs w:val="24"/>
        </w:rPr>
      </w:pPr>
      <w:r>
        <w:rPr>
          <w:rFonts w:hint="eastAsia" w:ascii="宋体" w:hAnsi="宋体"/>
          <w:color w:val="auto"/>
          <w:sz w:val="24"/>
          <w:szCs w:val="24"/>
        </w:rPr>
        <w:t>签字日期：      年  月  日</w:t>
      </w:r>
    </w:p>
    <w:p>
      <w:pPr>
        <w:spacing w:line="360" w:lineRule="auto"/>
        <w:rPr>
          <w:rFonts w:ascii="宋体" w:hAnsi="宋体"/>
          <w:color w:val="auto"/>
          <w:sz w:val="24"/>
          <w:szCs w:val="24"/>
        </w:rPr>
      </w:pPr>
      <w:r>
        <w:rPr>
          <w:rFonts w:hint="eastAsia" w:ascii="宋体" w:hAnsi="宋体"/>
          <w:color w:val="auto"/>
          <w:sz w:val="24"/>
          <w:szCs w:val="24"/>
        </w:rPr>
        <w:t xml:space="preserve">     </w:t>
      </w:r>
    </w:p>
    <w:p>
      <w:pPr>
        <w:spacing w:line="360" w:lineRule="auto"/>
        <w:ind w:firstLine="600" w:firstLineChars="250"/>
        <w:rPr>
          <w:rFonts w:ascii="宋体" w:hAnsi="宋体"/>
          <w:color w:val="auto"/>
          <w:sz w:val="24"/>
          <w:szCs w:val="24"/>
        </w:rPr>
      </w:pPr>
      <w:r>
        <w:rPr>
          <w:rFonts w:hint="eastAsia" w:ascii="宋体" w:hAnsi="宋体"/>
          <w:color w:val="auto"/>
          <w:sz w:val="24"/>
          <w:szCs w:val="24"/>
        </w:rPr>
        <w:t>丙方（盖章）:</w:t>
      </w:r>
    </w:p>
    <w:p>
      <w:pPr>
        <w:spacing w:line="360" w:lineRule="auto"/>
        <w:ind w:firstLine="600" w:firstLineChars="250"/>
        <w:rPr>
          <w:rFonts w:ascii="宋体" w:hAnsi="宋体"/>
          <w:color w:val="auto"/>
          <w:sz w:val="24"/>
          <w:szCs w:val="24"/>
        </w:rPr>
      </w:pPr>
      <w:r>
        <w:rPr>
          <w:rFonts w:hint="eastAsia" w:ascii="宋体" w:hAnsi="宋体"/>
          <w:color w:val="auto"/>
          <w:sz w:val="24"/>
          <w:szCs w:val="24"/>
        </w:rPr>
        <w:t>法定代表人或主要负责人:</w:t>
      </w:r>
    </w:p>
    <w:p>
      <w:pPr>
        <w:ind w:firstLine="600" w:firstLineChars="250"/>
        <w:rPr>
          <w:rFonts w:ascii="宋体" w:hAnsi="宋体"/>
          <w:color w:val="auto"/>
          <w:sz w:val="24"/>
          <w:szCs w:val="24"/>
        </w:rPr>
      </w:pPr>
      <w:r>
        <w:rPr>
          <w:rFonts w:hint="eastAsia" w:ascii="宋体" w:hAnsi="宋体"/>
          <w:color w:val="auto"/>
          <w:sz w:val="24"/>
          <w:szCs w:val="24"/>
        </w:rPr>
        <w:t>鉴证日期：      年  月  日                签约地：</w:t>
      </w:r>
    </w:p>
    <w:p>
      <w:pPr>
        <w:ind w:firstLine="480" w:firstLineChars="200"/>
        <w:rPr>
          <w:rFonts w:ascii="宋体" w:hAnsi="宋体"/>
          <w:color w:val="auto"/>
          <w:sz w:val="24"/>
          <w:szCs w:val="24"/>
        </w:rPr>
      </w:pPr>
    </w:p>
    <w:p>
      <w:pPr>
        <w:spacing w:line="360" w:lineRule="auto"/>
        <w:rPr>
          <w:rFonts w:ascii="宋体" w:hAnsi="宋体"/>
          <w:color w:val="auto"/>
          <w:sz w:val="28"/>
          <w:szCs w:val="28"/>
        </w:rPr>
      </w:pPr>
    </w:p>
    <w:p>
      <w:pPr>
        <w:widowControl/>
        <w:jc w:val="left"/>
        <w:rPr>
          <w:rFonts w:ascii="宋体" w:hAnsi="宋体"/>
          <w:color w:val="auto"/>
          <w:sz w:val="28"/>
          <w:szCs w:val="28"/>
        </w:rPr>
      </w:pPr>
      <w:r>
        <w:rPr>
          <w:rFonts w:ascii="宋体" w:hAnsi="宋体"/>
          <w:color w:val="auto"/>
          <w:sz w:val="28"/>
          <w:szCs w:val="28"/>
        </w:rPr>
        <w:br w:type="page"/>
      </w:r>
    </w:p>
    <w:p>
      <w:pPr>
        <w:pStyle w:val="4"/>
        <w:rPr>
          <w:rFonts w:ascii="宋体" w:hAnsi="宋体"/>
          <w:b w:val="0"/>
          <w:color w:val="auto"/>
        </w:rPr>
      </w:pPr>
      <w:r>
        <w:rPr>
          <w:rFonts w:hint="eastAsia" w:ascii="宋体" w:hAnsi="宋体"/>
          <w:b w:val="0"/>
          <w:color w:val="auto"/>
        </w:rPr>
        <w:t>第五章 谈判响应文件格式</w:t>
      </w:r>
    </w:p>
    <w:p>
      <w:pPr>
        <w:spacing w:line="360" w:lineRule="auto"/>
        <w:ind w:firstLine="420" w:firstLineChars="150"/>
        <w:rPr>
          <w:rFonts w:ascii="宋体" w:hAnsi="宋体"/>
          <w:color w:val="auto"/>
          <w:sz w:val="28"/>
          <w:szCs w:val="28"/>
        </w:rPr>
      </w:pPr>
      <w:r>
        <w:rPr>
          <w:rFonts w:hint="eastAsia" w:ascii="宋体" w:hAnsi="宋体"/>
          <w:color w:val="auto"/>
          <w:sz w:val="28"/>
          <w:szCs w:val="28"/>
        </w:rPr>
        <w:t>附件一</w:t>
      </w:r>
    </w:p>
    <w:p>
      <w:pPr>
        <w:spacing w:line="360" w:lineRule="auto"/>
        <w:ind w:firstLine="360" w:firstLineChars="150"/>
        <w:jc w:val="center"/>
        <w:rPr>
          <w:rFonts w:ascii="宋体" w:hAnsi="宋体"/>
          <w:b/>
          <w:color w:val="auto"/>
          <w:sz w:val="24"/>
          <w:szCs w:val="24"/>
        </w:rPr>
      </w:pPr>
      <w:r>
        <w:rPr>
          <w:rFonts w:hint="eastAsia" w:ascii="宋体" w:hAnsi="宋体"/>
          <w:b/>
          <w:color w:val="auto"/>
          <w:sz w:val="24"/>
          <w:szCs w:val="24"/>
        </w:rPr>
        <w:t>谈 判 响 应 书</w:t>
      </w:r>
    </w:p>
    <w:p>
      <w:pPr>
        <w:spacing w:line="480" w:lineRule="auto"/>
        <w:rPr>
          <w:rFonts w:ascii="宋体" w:hAnsi="宋体"/>
          <w:color w:val="auto"/>
          <w:sz w:val="24"/>
          <w:szCs w:val="24"/>
        </w:rPr>
      </w:pPr>
      <w:r>
        <w:rPr>
          <w:rFonts w:hint="eastAsia" w:ascii="宋体" w:hAnsi="宋体"/>
          <w:color w:val="auto"/>
          <w:sz w:val="24"/>
          <w:szCs w:val="24"/>
        </w:rPr>
        <w:t>台州市机关事务管理局：</w:t>
      </w:r>
    </w:p>
    <w:p>
      <w:pPr>
        <w:spacing w:line="480" w:lineRule="auto"/>
        <w:ind w:firstLine="480" w:firstLineChars="200"/>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rPr>
        <w:t>(谈判响应方单位全称)授权</w:t>
      </w:r>
      <w:r>
        <w:rPr>
          <w:rFonts w:hint="eastAsia" w:ascii="宋体" w:hAnsi="宋体"/>
          <w:color w:val="auto"/>
          <w:sz w:val="24"/>
          <w:szCs w:val="24"/>
          <w:u w:val="single"/>
        </w:rPr>
        <w:t xml:space="preserve">        </w:t>
      </w:r>
      <w:r>
        <w:rPr>
          <w:rFonts w:hint="eastAsia" w:ascii="宋体" w:hAnsi="宋体"/>
          <w:color w:val="auto"/>
          <w:sz w:val="24"/>
          <w:szCs w:val="24"/>
        </w:rPr>
        <w:t>（全名、职务）为全权代表，参加贵公司组织的</w:t>
      </w:r>
      <w:r>
        <w:rPr>
          <w:rFonts w:hint="eastAsia" w:ascii="宋体" w:hAnsi="宋体"/>
          <w:color w:val="auto"/>
          <w:sz w:val="24"/>
          <w:szCs w:val="24"/>
          <w:u w:val="single"/>
        </w:rPr>
        <w:t xml:space="preserve">                      </w:t>
      </w:r>
      <w:r>
        <w:rPr>
          <w:rFonts w:hint="eastAsia" w:ascii="宋体" w:hAnsi="宋体"/>
          <w:color w:val="auto"/>
          <w:sz w:val="24"/>
          <w:szCs w:val="24"/>
        </w:rPr>
        <w:t>（项目名称）（项目编号：</w:t>
      </w:r>
      <w:r>
        <w:rPr>
          <w:rFonts w:hint="eastAsia" w:ascii="宋体" w:hAnsi="宋体"/>
          <w:color w:val="auto"/>
          <w:sz w:val="24"/>
          <w:szCs w:val="24"/>
          <w:u w:val="single"/>
        </w:rPr>
        <w:t xml:space="preserve">          </w:t>
      </w:r>
      <w:r>
        <w:rPr>
          <w:rFonts w:hint="eastAsia" w:ascii="宋体" w:hAnsi="宋体"/>
          <w:color w:val="auto"/>
          <w:sz w:val="24"/>
          <w:szCs w:val="24"/>
        </w:rPr>
        <w:t>）竞争性谈判活动并投标。为此：</w:t>
      </w:r>
    </w:p>
    <w:p>
      <w:pPr>
        <w:spacing w:line="480" w:lineRule="auto"/>
        <w:ind w:firstLine="480" w:firstLineChars="200"/>
        <w:rPr>
          <w:rFonts w:ascii="宋体" w:hAnsi="宋体"/>
          <w:color w:val="auto"/>
          <w:sz w:val="24"/>
          <w:szCs w:val="24"/>
        </w:rPr>
      </w:pPr>
      <w:r>
        <w:rPr>
          <w:rFonts w:hint="eastAsia" w:ascii="宋体" w:hAnsi="宋体"/>
          <w:color w:val="auto"/>
          <w:sz w:val="24"/>
          <w:szCs w:val="24"/>
        </w:rPr>
        <w:t>1、我方已详细阅读了全部谈判文件，愿意接受竞争性谈判文件的各项要求。</w:t>
      </w:r>
    </w:p>
    <w:p>
      <w:pPr>
        <w:spacing w:line="480" w:lineRule="auto"/>
        <w:ind w:firstLine="480" w:firstLineChars="200"/>
        <w:rPr>
          <w:rFonts w:ascii="宋体" w:hAnsi="宋体"/>
          <w:color w:val="auto"/>
          <w:sz w:val="24"/>
          <w:szCs w:val="24"/>
        </w:rPr>
      </w:pPr>
      <w:r>
        <w:rPr>
          <w:rFonts w:hint="eastAsia" w:ascii="宋体" w:hAnsi="宋体"/>
          <w:color w:val="auto"/>
          <w:sz w:val="24"/>
          <w:szCs w:val="24"/>
        </w:rPr>
        <w:t>2、我方提供竞争性谈判文件要求的全部资料，并保证其真实性、合法性。</w:t>
      </w:r>
    </w:p>
    <w:p>
      <w:pPr>
        <w:spacing w:line="480" w:lineRule="auto"/>
        <w:ind w:firstLine="480" w:firstLineChars="200"/>
        <w:rPr>
          <w:rFonts w:ascii="宋体" w:hAnsi="宋体"/>
          <w:color w:val="auto"/>
          <w:sz w:val="24"/>
          <w:szCs w:val="24"/>
        </w:rPr>
      </w:pPr>
      <w:r>
        <w:rPr>
          <w:rFonts w:hint="eastAsia" w:ascii="宋体" w:hAnsi="宋体"/>
          <w:color w:val="auto"/>
          <w:sz w:val="24"/>
          <w:szCs w:val="24"/>
        </w:rPr>
        <w:t>3、若中标，我方将按竞争性谈判文件规定履行合同责任和义务。</w:t>
      </w:r>
    </w:p>
    <w:p>
      <w:pPr>
        <w:spacing w:line="480" w:lineRule="auto"/>
        <w:ind w:firstLine="480" w:firstLineChars="200"/>
        <w:rPr>
          <w:rFonts w:ascii="宋体" w:hAnsi="宋体"/>
          <w:color w:val="auto"/>
          <w:sz w:val="24"/>
          <w:szCs w:val="24"/>
        </w:rPr>
      </w:pPr>
      <w:r>
        <w:rPr>
          <w:rFonts w:hint="eastAsia" w:ascii="宋体" w:hAnsi="宋体"/>
          <w:color w:val="auto"/>
          <w:sz w:val="24"/>
          <w:szCs w:val="24"/>
        </w:rPr>
        <w:t>4、谈判响应书自开标日起有效期为 60 个工作日。</w:t>
      </w:r>
    </w:p>
    <w:p>
      <w:pPr>
        <w:spacing w:line="480" w:lineRule="auto"/>
        <w:ind w:firstLine="480" w:firstLineChars="200"/>
        <w:rPr>
          <w:rFonts w:ascii="宋体" w:hAnsi="宋体"/>
          <w:color w:val="auto"/>
          <w:sz w:val="24"/>
          <w:szCs w:val="24"/>
        </w:rPr>
      </w:pPr>
      <w:r>
        <w:rPr>
          <w:rFonts w:hint="eastAsia" w:ascii="宋体" w:hAnsi="宋体"/>
          <w:color w:val="auto"/>
          <w:sz w:val="24"/>
          <w:szCs w:val="24"/>
        </w:rPr>
        <w:t>5、我方与本竞争性谈判有关的一切正式来往通讯请寄：</w:t>
      </w: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地址：</w:t>
      </w:r>
      <w:r>
        <w:rPr>
          <w:rFonts w:hint="eastAsia" w:ascii="宋体" w:hAnsi="宋体"/>
          <w:color w:val="auto"/>
          <w:sz w:val="24"/>
          <w:szCs w:val="24"/>
          <w:u w:val="single"/>
        </w:rPr>
        <w:t xml:space="preserve">                                        </w:t>
      </w:r>
      <w:r>
        <w:rPr>
          <w:rFonts w:hint="eastAsia" w:ascii="宋体" w:hAnsi="宋体"/>
          <w:color w:val="auto"/>
          <w:sz w:val="24"/>
          <w:szCs w:val="24"/>
        </w:rPr>
        <w:t>邮编：</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电话：</w:t>
      </w:r>
      <w:r>
        <w:rPr>
          <w:rFonts w:hint="eastAsia" w:ascii="宋体" w:hAnsi="宋体"/>
          <w:color w:val="auto"/>
          <w:sz w:val="24"/>
          <w:szCs w:val="24"/>
          <w:u w:val="single"/>
        </w:rPr>
        <w:t xml:space="preserve">                  </w:t>
      </w:r>
      <w:r>
        <w:rPr>
          <w:rFonts w:hint="eastAsia" w:ascii="宋体" w:hAnsi="宋体"/>
          <w:color w:val="auto"/>
          <w:sz w:val="24"/>
          <w:szCs w:val="24"/>
        </w:rPr>
        <w:t>传真：</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投标供应商代表姓名：</w:t>
      </w:r>
      <w:r>
        <w:rPr>
          <w:rFonts w:hint="eastAsia" w:ascii="宋体" w:hAnsi="宋体"/>
          <w:color w:val="auto"/>
          <w:sz w:val="24"/>
          <w:szCs w:val="24"/>
          <w:u w:val="single"/>
        </w:rPr>
        <w:t xml:space="preserve">                         </w:t>
      </w:r>
      <w:r>
        <w:rPr>
          <w:rFonts w:hint="eastAsia" w:ascii="宋体" w:hAnsi="宋体"/>
          <w:color w:val="auto"/>
          <w:sz w:val="24"/>
          <w:szCs w:val="24"/>
        </w:rPr>
        <w:t>职务：</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投标供应商名称(公章):</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r>
        <w:rPr>
          <w:rFonts w:hint="eastAsia" w:ascii="宋体" w:hAnsi="宋体"/>
          <w:color w:val="auto"/>
          <w:sz w:val="24"/>
          <w:szCs w:val="24"/>
        </w:rPr>
        <w:t>开户银行：</w:t>
      </w:r>
      <w:r>
        <w:rPr>
          <w:rFonts w:hint="eastAsia" w:ascii="宋体" w:hAnsi="宋体"/>
          <w:color w:val="auto"/>
          <w:sz w:val="24"/>
          <w:szCs w:val="24"/>
          <w:u w:val="single"/>
        </w:rPr>
        <w:t xml:space="preserve">                         </w:t>
      </w:r>
      <w:r>
        <w:rPr>
          <w:rFonts w:hint="eastAsia" w:ascii="宋体" w:hAnsi="宋体"/>
          <w:color w:val="auto"/>
          <w:sz w:val="24"/>
          <w:szCs w:val="24"/>
        </w:rPr>
        <w:t>银行</w:t>
      </w:r>
      <w:r>
        <w:rPr>
          <w:rFonts w:hint="eastAsia" w:ascii="宋体" w:hAnsi="宋体" w:eastAsia="宋体"/>
          <w:color w:val="auto"/>
          <w:sz w:val="24"/>
          <w:szCs w:val="24"/>
          <w:lang w:eastAsia="zh-CN"/>
        </w:rPr>
        <w:t>账</w:t>
      </w:r>
      <w:bookmarkStart w:id="5" w:name="_GoBack"/>
      <w:bookmarkEnd w:id="5"/>
      <w:r>
        <w:rPr>
          <w:rFonts w:hint="eastAsia" w:ascii="宋体" w:hAnsi="宋体"/>
          <w:color w:val="auto"/>
          <w:sz w:val="24"/>
          <w:szCs w:val="24"/>
        </w:rPr>
        <w:t>号：</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法定代表人（或全权代表）签字:</w:t>
      </w:r>
      <w:r>
        <w:rPr>
          <w:rFonts w:hint="eastAsia" w:ascii="宋体" w:hAnsi="宋体"/>
          <w:color w:val="auto"/>
          <w:sz w:val="24"/>
          <w:szCs w:val="24"/>
          <w:u w:val="single"/>
        </w:rPr>
        <w:t xml:space="preserve">                 </w:t>
      </w:r>
    </w:p>
    <w:p>
      <w:pPr>
        <w:spacing w:line="480" w:lineRule="auto"/>
        <w:ind w:firstLine="3120" w:firstLineChars="1300"/>
        <w:jc w:val="right"/>
        <w:rPr>
          <w:rFonts w:ascii="宋体" w:hAnsi="宋体"/>
          <w:color w:val="auto"/>
          <w:sz w:val="24"/>
          <w:szCs w:val="24"/>
        </w:rPr>
      </w:pPr>
    </w:p>
    <w:p>
      <w:pPr>
        <w:spacing w:line="480" w:lineRule="auto"/>
        <w:ind w:firstLine="3120" w:firstLineChars="1300"/>
        <w:jc w:val="right"/>
        <w:rPr>
          <w:rFonts w:ascii="宋体" w:hAnsi="宋体"/>
          <w:color w:val="auto"/>
          <w:sz w:val="24"/>
          <w:szCs w:val="24"/>
        </w:rPr>
      </w:pPr>
      <w:r>
        <w:rPr>
          <w:rFonts w:hint="eastAsia" w:ascii="宋体" w:hAnsi="宋体"/>
          <w:color w:val="auto"/>
          <w:sz w:val="24"/>
          <w:szCs w:val="24"/>
        </w:rPr>
        <w:t>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20" w:firstLineChars="150"/>
        <w:rPr>
          <w:rFonts w:ascii="宋体" w:hAnsi="宋体"/>
          <w:b/>
          <w:color w:val="auto"/>
          <w:sz w:val="32"/>
          <w:szCs w:val="32"/>
        </w:rPr>
      </w:pPr>
      <w:r>
        <w:rPr>
          <w:rFonts w:hint="eastAsia" w:ascii="宋体" w:hAnsi="宋体"/>
          <w:color w:val="auto"/>
          <w:sz w:val="28"/>
          <w:szCs w:val="28"/>
        </w:rPr>
        <w:t xml:space="preserve">附件二  </w:t>
      </w:r>
      <w:r>
        <w:rPr>
          <w:rFonts w:hint="eastAsia" w:ascii="宋体" w:hAnsi="宋体"/>
          <w:b/>
          <w:color w:val="auto"/>
          <w:sz w:val="32"/>
          <w:szCs w:val="32"/>
        </w:rPr>
        <w:t xml:space="preserve">              </w:t>
      </w:r>
    </w:p>
    <w:p>
      <w:pPr>
        <w:spacing w:line="480" w:lineRule="auto"/>
        <w:ind w:firstLine="480" w:firstLineChars="200"/>
        <w:jc w:val="center"/>
        <w:rPr>
          <w:rFonts w:ascii="宋体" w:hAnsi="宋体"/>
          <w:b/>
          <w:color w:val="auto"/>
          <w:sz w:val="24"/>
          <w:szCs w:val="24"/>
        </w:rPr>
      </w:pPr>
      <w:r>
        <w:rPr>
          <w:rFonts w:hint="eastAsia" w:ascii="宋体" w:hAnsi="宋体"/>
          <w:b/>
          <w:color w:val="auto"/>
          <w:sz w:val="24"/>
          <w:szCs w:val="24"/>
        </w:rPr>
        <w:t>法 定 代 表 人 授 权 委 托 书</w:t>
      </w:r>
    </w:p>
    <w:p>
      <w:pPr>
        <w:spacing w:line="480" w:lineRule="auto"/>
        <w:ind w:firstLine="480" w:firstLineChars="200"/>
        <w:rPr>
          <w:rFonts w:ascii="宋体" w:hAnsi="宋体"/>
          <w:color w:val="auto"/>
          <w:sz w:val="24"/>
          <w:szCs w:val="24"/>
        </w:rPr>
      </w:pPr>
      <w:r>
        <w:rPr>
          <w:rFonts w:hint="eastAsia" w:ascii="宋体" w:hAnsi="宋体"/>
          <w:color w:val="auto"/>
          <w:sz w:val="24"/>
          <w:szCs w:val="24"/>
        </w:rPr>
        <w:t>致：台州市机关事务局：</w:t>
      </w:r>
    </w:p>
    <w:p>
      <w:pPr>
        <w:spacing w:line="480" w:lineRule="auto"/>
        <w:ind w:firstLine="480" w:firstLineChars="200"/>
        <w:rPr>
          <w:rFonts w:ascii="宋体" w:hAnsi="宋体"/>
          <w:color w:val="auto"/>
          <w:sz w:val="24"/>
          <w:szCs w:val="24"/>
        </w:rPr>
      </w:pPr>
      <w:r>
        <w:rPr>
          <w:rFonts w:hint="eastAsia" w:ascii="宋体" w:hAnsi="宋体"/>
          <w:color w:val="auto"/>
          <w:sz w:val="24"/>
          <w:szCs w:val="24"/>
        </w:rPr>
        <w:t xml:space="preserve">我 </w:t>
      </w:r>
      <w:r>
        <w:rPr>
          <w:rFonts w:hint="eastAsia" w:ascii="宋体" w:hAnsi="宋体"/>
          <w:color w:val="auto"/>
          <w:sz w:val="24"/>
          <w:szCs w:val="24"/>
          <w:u w:val="single"/>
        </w:rPr>
        <w:t xml:space="preserve">           </w:t>
      </w:r>
      <w:r>
        <w:rPr>
          <w:rFonts w:hint="eastAsia" w:ascii="宋体" w:hAnsi="宋体"/>
          <w:color w:val="auto"/>
          <w:sz w:val="24"/>
          <w:szCs w:val="24"/>
        </w:rPr>
        <w:t xml:space="preserve">（姓名）系 </w:t>
      </w:r>
      <w:r>
        <w:rPr>
          <w:rFonts w:hint="eastAsia" w:ascii="宋体" w:hAnsi="宋体"/>
          <w:color w:val="auto"/>
          <w:sz w:val="24"/>
          <w:szCs w:val="24"/>
          <w:u w:val="single"/>
        </w:rPr>
        <w:t xml:space="preserve">              </w:t>
      </w:r>
      <w:r>
        <w:rPr>
          <w:rFonts w:hint="eastAsia" w:ascii="宋体" w:hAnsi="宋体"/>
          <w:color w:val="auto"/>
          <w:sz w:val="24"/>
          <w:szCs w:val="24"/>
        </w:rPr>
        <w:t>（投标人名称）的法定代表人，现授权委托本单位在职职工</w:t>
      </w:r>
      <w:r>
        <w:rPr>
          <w:rFonts w:hint="eastAsia" w:ascii="宋体" w:hAnsi="宋体"/>
          <w:color w:val="auto"/>
          <w:sz w:val="24"/>
          <w:szCs w:val="24"/>
          <w:u w:val="single"/>
        </w:rPr>
        <w:t xml:space="preserve">               </w:t>
      </w:r>
      <w:r>
        <w:rPr>
          <w:rFonts w:hint="eastAsia" w:ascii="宋体" w:hAnsi="宋体"/>
          <w:color w:val="auto"/>
          <w:sz w:val="24"/>
          <w:szCs w:val="24"/>
        </w:rPr>
        <w:t>（姓名）以我方的名义参加</w:t>
      </w:r>
      <w:r>
        <w:rPr>
          <w:rFonts w:hint="eastAsia" w:ascii="宋体" w:hAnsi="宋体"/>
          <w:color w:val="auto"/>
          <w:sz w:val="24"/>
          <w:szCs w:val="24"/>
          <w:u w:val="single"/>
        </w:rPr>
        <w:t xml:space="preserve">     </w:t>
      </w:r>
      <w:r>
        <w:rPr>
          <w:rFonts w:hint="eastAsia" w:ascii="宋体" w:hAnsi="宋体"/>
          <w:color w:val="auto"/>
          <w:sz w:val="24"/>
          <w:szCs w:val="24"/>
        </w:rPr>
        <w:t>单位</w:t>
      </w:r>
      <w:r>
        <w:rPr>
          <w:rFonts w:hint="eastAsia" w:ascii="宋体" w:hAnsi="宋体"/>
          <w:color w:val="auto"/>
          <w:sz w:val="24"/>
          <w:szCs w:val="24"/>
          <w:u w:val="single"/>
        </w:rPr>
        <w:t xml:space="preserve">      </w:t>
      </w:r>
      <w:r>
        <w:rPr>
          <w:rFonts w:hint="eastAsia" w:ascii="宋体" w:hAnsi="宋体"/>
          <w:color w:val="auto"/>
          <w:sz w:val="24"/>
          <w:szCs w:val="24"/>
        </w:rPr>
        <w:t>政府采购项目的竞争性谈判活动，并代表我方全权办理针对上述项目的谈判、报价、签约等具体事务和签署相关文件。我方对被授权人的签名事项负全部责任。</w:t>
      </w:r>
    </w:p>
    <w:p>
      <w:pPr>
        <w:spacing w:line="480" w:lineRule="auto"/>
        <w:ind w:firstLine="480" w:firstLineChars="200"/>
        <w:rPr>
          <w:rFonts w:ascii="宋体" w:hAnsi="宋体"/>
          <w:color w:val="auto"/>
          <w:sz w:val="24"/>
          <w:szCs w:val="24"/>
        </w:rPr>
      </w:pPr>
      <w:r>
        <w:rPr>
          <w:rFonts w:hint="eastAsia" w:ascii="宋体" w:hAnsi="宋体"/>
          <w:color w:val="auto"/>
          <w:sz w:val="24"/>
          <w:szCs w:val="24"/>
        </w:rPr>
        <w:t>在撤销授权的书面通知以前，本授权书一直有效。被授权人在授权书有效期内签署的所有文件不因授权的撤销而失效。</w:t>
      </w:r>
    </w:p>
    <w:p>
      <w:pPr>
        <w:spacing w:line="480" w:lineRule="auto"/>
        <w:ind w:firstLine="480" w:firstLineChars="200"/>
        <w:rPr>
          <w:rFonts w:ascii="宋体" w:hAnsi="宋体"/>
          <w:color w:val="auto"/>
          <w:sz w:val="24"/>
          <w:szCs w:val="24"/>
        </w:rPr>
      </w:pPr>
      <w:r>
        <w:rPr>
          <w:rFonts w:hint="eastAsia" w:ascii="宋体" w:hAnsi="宋体"/>
          <w:color w:val="auto"/>
          <w:sz w:val="24"/>
          <w:szCs w:val="24"/>
        </w:rPr>
        <w:t>被授权人无转委托权，特此委托。</w:t>
      </w:r>
    </w:p>
    <w:p>
      <w:pPr>
        <w:spacing w:line="480" w:lineRule="auto"/>
        <w:ind w:firstLine="480" w:firstLineChars="200"/>
        <w:rPr>
          <w:rFonts w:ascii="宋体" w:hAnsi="宋体"/>
          <w:color w:val="auto"/>
          <w:sz w:val="24"/>
          <w:szCs w:val="24"/>
        </w:rPr>
      </w:pPr>
      <w:r>
        <w:rPr>
          <w:rFonts w:hint="eastAsia" w:ascii="宋体" w:hAnsi="宋体"/>
          <w:color w:val="auto"/>
          <w:sz w:val="24"/>
          <w:szCs w:val="24"/>
        </w:rPr>
        <w:t>法定代表人签名：</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r>
        <w:rPr>
          <w:rFonts w:hint="eastAsia" w:ascii="宋体" w:hAnsi="宋体"/>
          <w:color w:val="auto"/>
          <w:sz w:val="24"/>
          <w:szCs w:val="24"/>
        </w:rPr>
        <w:t>被授权人签名：</w:t>
      </w:r>
      <w:r>
        <w:rPr>
          <w:rFonts w:hint="eastAsia" w:ascii="宋体" w:hAnsi="宋体"/>
          <w:color w:val="auto"/>
          <w:sz w:val="24"/>
          <w:szCs w:val="24"/>
          <w:u w:val="single"/>
        </w:rPr>
        <w:t xml:space="preserve">                    </w:t>
      </w:r>
      <w:r>
        <w:rPr>
          <w:rFonts w:hint="eastAsia" w:ascii="宋体" w:hAnsi="宋体"/>
          <w:color w:val="auto"/>
          <w:sz w:val="24"/>
          <w:szCs w:val="24"/>
        </w:rPr>
        <w:t>职务：</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r>
        <w:rPr>
          <w:rFonts w:hint="eastAsia" w:ascii="宋体" w:hAnsi="宋体"/>
          <w:color w:val="auto"/>
          <w:sz w:val="24"/>
          <w:szCs w:val="24"/>
        </w:rPr>
        <w:t>谈判响应方全称（公章）：</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r>
        <w:rPr>
          <w:rFonts w:hint="eastAsia" w:ascii="宋体" w:hAnsi="宋体"/>
          <w:color w:val="auto"/>
          <w:sz w:val="24"/>
          <w:szCs w:val="24"/>
        </w:rPr>
        <w:t xml:space="preserve">                               日 期：        年       月     日</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8820" w:type="dxa"/>
          </w:tcPr>
          <w:p>
            <w:pPr>
              <w:spacing w:line="360" w:lineRule="auto"/>
              <w:ind w:firstLine="480" w:firstLineChars="200"/>
              <w:rPr>
                <w:rFonts w:ascii="宋体" w:hAnsi="宋体"/>
                <w:color w:val="auto"/>
                <w:sz w:val="24"/>
                <w:szCs w:val="24"/>
              </w:rPr>
            </w:pPr>
            <w:r>
              <w:rPr>
                <w:rFonts w:hint="eastAsia" w:ascii="宋体" w:hAnsi="宋体"/>
                <w:color w:val="auto"/>
                <w:sz w:val="24"/>
                <w:szCs w:val="24"/>
              </w:rPr>
              <w:t>粘贴法定代表人身份证复印件</w:t>
            </w:r>
          </w:p>
          <w:p>
            <w:pPr>
              <w:spacing w:line="360" w:lineRule="auto"/>
              <w:ind w:firstLine="480" w:firstLineChars="200"/>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粘贴被授权人身份证复印件</w:t>
            </w:r>
          </w:p>
          <w:p>
            <w:pPr>
              <w:spacing w:line="360" w:lineRule="auto"/>
              <w:ind w:firstLine="480" w:firstLineChars="200"/>
              <w:rPr>
                <w:rFonts w:ascii="宋体" w:hAnsi="宋体"/>
                <w:color w:val="auto"/>
                <w:sz w:val="24"/>
                <w:szCs w:val="24"/>
              </w:rPr>
            </w:pPr>
          </w:p>
          <w:p>
            <w:pPr>
              <w:spacing w:line="360" w:lineRule="auto"/>
              <w:ind w:firstLine="480" w:firstLineChars="200"/>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tc>
      </w:tr>
    </w:tbl>
    <w:p>
      <w:pPr>
        <w:spacing w:line="360" w:lineRule="auto"/>
        <w:ind w:firstLine="420" w:firstLineChars="150"/>
        <w:rPr>
          <w:rFonts w:ascii="宋体" w:hAnsi="宋体"/>
          <w:b/>
          <w:color w:val="auto"/>
          <w:sz w:val="32"/>
          <w:szCs w:val="32"/>
        </w:rPr>
      </w:pPr>
      <w:r>
        <w:rPr>
          <w:rFonts w:hint="eastAsia" w:ascii="宋体" w:hAnsi="宋体"/>
          <w:color w:val="auto"/>
          <w:sz w:val="28"/>
          <w:szCs w:val="28"/>
        </w:rPr>
        <w:t xml:space="preserve">附件三 </w:t>
      </w:r>
      <w:r>
        <w:rPr>
          <w:rFonts w:hint="eastAsia" w:ascii="宋体" w:hAnsi="宋体"/>
          <w:b/>
          <w:color w:val="auto"/>
          <w:sz w:val="32"/>
          <w:szCs w:val="32"/>
        </w:rPr>
        <w:t xml:space="preserve">   </w:t>
      </w:r>
      <w:r>
        <w:rPr>
          <w:rFonts w:hint="eastAsia" w:ascii="宋体" w:hAnsi="宋体"/>
          <w:b/>
          <w:color w:val="auto"/>
          <w:sz w:val="32"/>
          <w:szCs w:val="32"/>
          <w:lang w:eastAsia="zh-CN"/>
        </w:rPr>
        <w:t>（１）</w:t>
      </w:r>
      <w:r>
        <w:rPr>
          <w:rFonts w:hint="eastAsia" w:ascii="宋体" w:hAnsi="宋体"/>
          <w:b/>
          <w:color w:val="auto"/>
          <w:sz w:val="32"/>
          <w:szCs w:val="32"/>
        </w:rPr>
        <w:t xml:space="preserve">           </w:t>
      </w:r>
    </w:p>
    <w:p>
      <w:pPr>
        <w:spacing w:line="480" w:lineRule="auto"/>
        <w:ind w:firstLine="480" w:firstLineChars="200"/>
        <w:jc w:val="center"/>
        <w:rPr>
          <w:rFonts w:ascii="宋体" w:hAnsi="宋体"/>
          <w:b/>
          <w:color w:val="auto"/>
          <w:sz w:val="24"/>
          <w:szCs w:val="24"/>
        </w:rPr>
      </w:pPr>
      <w:r>
        <w:rPr>
          <w:rFonts w:hint="eastAsia" w:ascii="宋体" w:hAnsi="宋体"/>
          <w:b/>
          <w:color w:val="auto"/>
          <w:sz w:val="24"/>
          <w:szCs w:val="24"/>
        </w:rPr>
        <w:t>初 次 报 价 表</w:t>
      </w:r>
    </w:p>
    <w:p>
      <w:pPr>
        <w:spacing w:line="480" w:lineRule="auto"/>
        <w:ind w:firstLine="120" w:firstLineChars="50"/>
        <w:rPr>
          <w:rFonts w:ascii="宋体" w:hAnsi="宋体"/>
          <w:color w:val="auto"/>
          <w:sz w:val="24"/>
          <w:szCs w:val="24"/>
          <w:u w:val="single"/>
        </w:rPr>
      </w:pPr>
      <w:r>
        <w:rPr>
          <w:rFonts w:hint="eastAsia" w:ascii="宋体" w:hAnsi="宋体"/>
          <w:color w:val="auto"/>
          <w:sz w:val="24"/>
          <w:szCs w:val="24"/>
        </w:rPr>
        <w:t>竞争性谈判项目名称：</w:t>
      </w:r>
      <w:r>
        <w:rPr>
          <w:rFonts w:hint="eastAsia" w:ascii="宋体" w:hAnsi="宋体"/>
          <w:color w:val="auto"/>
          <w:kern w:val="0"/>
          <w:sz w:val="24"/>
          <w:u w:val="single"/>
        </w:rPr>
        <w:t>台州市行政中心3号楼智慧消防项目</w:t>
      </w:r>
    </w:p>
    <w:p>
      <w:pPr>
        <w:spacing w:line="480" w:lineRule="auto"/>
        <w:ind w:firstLine="120" w:firstLineChars="50"/>
        <w:rPr>
          <w:rFonts w:ascii="宋体" w:hAnsi="宋体"/>
          <w:color w:val="auto"/>
          <w:sz w:val="24"/>
          <w:szCs w:val="24"/>
        </w:rPr>
      </w:pPr>
      <w:r>
        <w:rPr>
          <w:rFonts w:hint="eastAsia" w:ascii="宋体" w:hAnsi="宋体"/>
          <w:color w:val="auto"/>
          <w:sz w:val="24"/>
          <w:szCs w:val="24"/>
        </w:rPr>
        <w:t>竞争性谈判编号：</w:t>
      </w:r>
      <w:r>
        <w:rPr>
          <w:rFonts w:hint="eastAsia" w:ascii="宋体" w:hAnsi="宋体"/>
          <w:color w:val="auto"/>
          <w:kern w:val="0"/>
          <w:sz w:val="24"/>
          <w:szCs w:val="24"/>
          <w:u w:val="single"/>
        </w:rPr>
        <w:t xml:space="preserve">             </w:t>
      </w:r>
      <w:r>
        <w:rPr>
          <w:rFonts w:hint="eastAsia" w:ascii="宋体" w:hAnsi="宋体"/>
          <w:color w:val="auto"/>
          <w:sz w:val="24"/>
          <w:szCs w:val="24"/>
        </w:rPr>
        <w:t xml:space="preserve"> 标项：</w:t>
      </w:r>
      <w:r>
        <w:rPr>
          <w:rFonts w:hint="eastAsia" w:ascii="宋体" w:hAnsi="宋体"/>
          <w:color w:val="auto"/>
          <w:sz w:val="24"/>
          <w:szCs w:val="24"/>
          <w:u w:val="single"/>
        </w:rPr>
        <w:t xml:space="preserve">    一     </w:t>
      </w:r>
      <w:r>
        <w:rPr>
          <w:rFonts w:hint="eastAsia" w:ascii="宋体" w:hAnsi="宋体"/>
          <w:color w:val="auto"/>
          <w:sz w:val="24"/>
          <w:szCs w:val="24"/>
        </w:rPr>
        <w:t xml:space="preserve"> </w:t>
      </w:r>
    </w:p>
    <w:tbl>
      <w:tblPr>
        <w:tblStyle w:val="5"/>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62"/>
        <w:gridCol w:w="2169"/>
        <w:gridCol w:w="850"/>
        <w:gridCol w:w="993"/>
        <w:gridCol w:w="155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0"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标项</w:t>
            </w:r>
          </w:p>
        </w:tc>
        <w:tc>
          <w:tcPr>
            <w:tcW w:w="3431" w:type="dxa"/>
            <w:gridSpan w:val="2"/>
            <w:vAlign w:val="center"/>
          </w:tcPr>
          <w:p>
            <w:pPr>
              <w:spacing w:line="480" w:lineRule="auto"/>
              <w:ind w:firstLine="480" w:firstLineChars="200"/>
              <w:jc w:val="center"/>
              <w:rPr>
                <w:rFonts w:ascii="宋体" w:hAnsi="宋体"/>
                <w:color w:val="auto"/>
                <w:sz w:val="24"/>
                <w:szCs w:val="24"/>
              </w:rPr>
            </w:pPr>
            <w:r>
              <w:rPr>
                <w:rFonts w:hint="eastAsia" w:ascii="宋体" w:hAnsi="宋体"/>
                <w:color w:val="auto"/>
                <w:sz w:val="24"/>
                <w:szCs w:val="24"/>
              </w:rPr>
              <w:t>项目名称</w:t>
            </w:r>
          </w:p>
        </w:tc>
        <w:tc>
          <w:tcPr>
            <w:tcW w:w="850"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单位</w:t>
            </w:r>
          </w:p>
        </w:tc>
        <w:tc>
          <w:tcPr>
            <w:tcW w:w="993"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数量</w:t>
            </w:r>
          </w:p>
        </w:tc>
        <w:tc>
          <w:tcPr>
            <w:tcW w:w="1559"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总价</w:t>
            </w:r>
          </w:p>
        </w:tc>
        <w:tc>
          <w:tcPr>
            <w:tcW w:w="1305"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30"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一</w:t>
            </w:r>
          </w:p>
        </w:tc>
        <w:tc>
          <w:tcPr>
            <w:tcW w:w="3431" w:type="dxa"/>
            <w:gridSpan w:val="2"/>
            <w:vAlign w:val="center"/>
          </w:tcPr>
          <w:p>
            <w:pPr>
              <w:spacing w:line="440" w:lineRule="exact"/>
              <w:jc w:val="center"/>
              <w:rPr>
                <w:rFonts w:ascii="宋体" w:hAnsi="宋体"/>
                <w:color w:val="auto"/>
                <w:sz w:val="24"/>
                <w:szCs w:val="24"/>
              </w:rPr>
            </w:pPr>
            <w:r>
              <w:rPr>
                <w:rFonts w:hint="eastAsia" w:ascii="宋体" w:hAnsi="宋体"/>
                <w:color w:val="auto"/>
                <w:kern w:val="0"/>
                <w:sz w:val="24"/>
              </w:rPr>
              <w:t>台州市行政中心3号楼智慧消防项目</w:t>
            </w:r>
          </w:p>
        </w:tc>
        <w:tc>
          <w:tcPr>
            <w:tcW w:w="850"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年</w:t>
            </w:r>
          </w:p>
        </w:tc>
        <w:tc>
          <w:tcPr>
            <w:tcW w:w="993" w:type="dxa"/>
            <w:vAlign w:val="center"/>
          </w:tcPr>
          <w:p>
            <w:pPr>
              <w:spacing w:line="480" w:lineRule="auto"/>
              <w:jc w:val="center"/>
              <w:rPr>
                <w:rFonts w:ascii="宋体" w:hAnsi="宋体"/>
                <w:color w:val="auto"/>
                <w:sz w:val="24"/>
                <w:szCs w:val="24"/>
              </w:rPr>
            </w:pPr>
            <w:r>
              <w:rPr>
                <w:rFonts w:ascii="宋体" w:hAnsi="宋体"/>
                <w:color w:val="auto"/>
                <w:sz w:val="24"/>
                <w:szCs w:val="24"/>
              </w:rPr>
              <w:t>1</w:t>
            </w:r>
          </w:p>
        </w:tc>
        <w:tc>
          <w:tcPr>
            <w:tcW w:w="1559" w:type="dxa"/>
            <w:vAlign w:val="center"/>
          </w:tcPr>
          <w:p>
            <w:pPr>
              <w:spacing w:line="480" w:lineRule="auto"/>
              <w:ind w:firstLine="480" w:firstLineChars="200"/>
              <w:jc w:val="center"/>
              <w:rPr>
                <w:rFonts w:ascii="宋体" w:hAnsi="宋体"/>
                <w:color w:val="auto"/>
                <w:sz w:val="24"/>
                <w:szCs w:val="24"/>
              </w:rPr>
            </w:pPr>
          </w:p>
        </w:tc>
        <w:tc>
          <w:tcPr>
            <w:tcW w:w="1305" w:type="dxa"/>
            <w:vAlign w:val="center"/>
          </w:tcPr>
          <w:p>
            <w:pPr>
              <w:spacing w:line="48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92" w:type="dxa"/>
            <w:gridSpan w:val="2"/>
            <w:vAlign w:val="center"/>
          </w:tcPr>
          <w:p>
            <w:pPr>
              <w:spacing w:line="480" w:lineRule="auto"/>
              <w:ind w:firstLine="480" w:firstLineChars="200"/>
              <w:jc w:val="center"/>
              <w:rPr>
                <w:rFonts w:ascii="宋体" w:hAnsi="宋体"/>
                <w:color w:val="auto"/>
                <w:sz w:val="24"/>
                <w:szCs w:val="24"/>
              </w:rPr>
            </w:pPr>
            <w:r>
              <w:rPr>
                <w:rFonts w:hint="eastAsia" w:ascii="宋体" w:hAnsi="宋体"/>
                <w:color w:val="auto"/>
                <w:sz w:val="24"/>
                <w:szCs w:val="24"/>
              </w:rPr>
              <w:t>合计：</w:t>
            </w:r>
          </w:p>
        </w:tc>
        <w:tc>
          <w:tcPr>
            <w:tcW w:w="6876" w:type="dxa"/>
            <w:gridSpan w:val="5"/>
            <w:vAlign w:val="center"/>
          </w:tcPr>
          <w:p>
            <w:pPr>
              <w:spacing w:line="480" w:lineRule="auto"/>
              <w:rPr>
                <w:rFonts w:ascii="宋体" w:hAnsi="宋体"/>
                <w:color w:val="auto"/>
                <w:sz w:val="24"/>
                <w:szCs w:val="24"/>
              </w:rPr>
            </w:pPr>
            <w:r>
              <w:rPr>
                <w:rFonts w:hint="eastAsia" w:ascii="宋体" w:hAnsi="宋体"/>
                <w:color w:val="auto"/>
                <w:sz w:val="24"/>
                <w:szCs w:val="24"/>
              </w:rPr>
              <w:t>人民币大写：         ，小写：￥           元</w:t>
            </w:r>
          </w:p>
        </w:tc>
      </w:tr>
    </w:tbl>
    <w:p>
      <w:pPr>
        <w:spacing w:line="480" w:lineRule="auto"/>
        <w:ind w:firstLine="480" w:firstLineChars="200"/>
        <w:rPr>
          <w:rFonts w:ascii="宋体" w:hAnsi="宋体"/>
          <w:color w:val="auto"/>
          <w:sz w:val="24"/>
          <w:szCs w:val="24"/>
        </w:rPr>
      </w:pPr>
      <w:r>
        <w:rPr>
          <w:rFonts w:hint="eastAsia" w:ascii="宋体" w:hAnsi="宋体"/>
          <w:color w:val="auto"/>
          <w:sz w:val="24"/>
          <w:szCs w:val="24"/>
        </w:rPr>
        <w:t xml:space="preserve"> </w:t>
      </w: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谈判响应方全称（盖章）：</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法定代表人（或全权代表）（签字）：</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p>
    <w:p>
      <w:pPr>
        <w:spacing w:line="480" w:lineRule="auto"/>
        <w:ind w:firstLine="3720" w:firstLineChars="1550"/>
        <w:rPr>
          <w:rFonts w:ascii="宋体" w:hAnsi="宋体"/>
          <w:color w:val="auto"/>
          <w:sz w:val="24"/>
          <w:szCs w:val="24"/>
        </w:rPr>
      </w:pPr>
      <w:r>
        <w:rPr>
          <w:rFonts w:hint="eastAsia" w:ascii="宋体" w:hAnsi="宋体"/>
          <w:color w:val="auto"/>
          <w:sz w:val="24"/>
          <w:szCs w:val="24"/>
        </w:rPr>
        <w:t>日 期：        年       月        日</w:t>
      </w:r>
    </w:p>
    <w:p>
      <w:pPr>
        <w:spacing w:line="480" w:lineRule="auto"/>
        <w:ind w:firstLine="3720" w:firstLineChars="1550"/>
        <w:rPr>
          <w:rFonts w:ascii="宋体" w:hAnsi="宋体"/>
          <w:color w:val="auto"/>
          <w:sz w:val="24"/>
          <w:szCs w:val="24"/>
        </w:rPr>
      </w:pPr>
    </w:p>
    <w:p>
      <w:pPr>
        <w:spacing w:line="480" w:lineRule="auto"/>
        <w:ind w:firstLine="480" w:firstLineChars="200"/>
        <w:rPr>
          <w:rFonts w:ascii="宋体" w:hAnsi="宋体"/>
          <w:color w:val="auto"/>
          <w:sz w:val="24"/>
          <w:szCs w:val="24"/>
        </w:rPr>
      </w:pPr>
      <w:r>
        <w:rPr>
          <w:rFonts w:hint="eastAsia" w:ascii="宋体" w:hAnsi="宋体"/>
          <w:color w:val="auto"/>
          <w:sz w:val="24"/>
          <w:szCs w:val="24"/>
        </w:rPr>
        <w:t>备注：1、报价一经涂改，应在涂改处加盖单位公章或者由法定代表人或授权委托人签字或盖章，否则其投标作无效标处理；</w:t>
      </w:r>
    </w:p>
    <w:p>
      <w:pPr>
        <w:spacing w:line="480" w:lineRule="auto"/>
        <w:ind w:firstLine="480" w:firstLineChars="200"/>
        <w:rPr>
          <w:rFonts w:ascii="宋体" w:hAnsi="宋体"/>
          <w:color w:val="auto"/>
          <w:sz w:val="24"/>
          <w:szCs w:val="24"/>
        </w:rPr>
      </w:pPr>
      <w:r>
        <w:rPr>
          <w:rFonts w:hint="eastAsia" w:ascii="宋体" w:hAnsi="宋体"/>
          <w:color w:val="auto"/>
          <w:sz w:val="24"/>
          <w:szCs w:val="24"/>
        </w:rPr>
        <w:t>2、项目费用包含全过程的服务，以及税金、验收检测（含第三方验收）、技术服务、售后服务、材料、采购代理服务费等全部费用。</w:t>
      </w:r>
    </w:p>
    <w:p>
      <w:pPr>
        <w:spacing w:line="480" w:lineRule="auto"/>
        <w:rPr>
          <w:rFonts w:ascii="宋体" w:hAnsi="宋体"/>
          <w:b/>
          <w:color w:val="auto"/>
          <w:sz w:val="32"/>
          <w:szCs w:val="32"/>
        </w:rPr>
      </w:pPr>
    </w:p>
    <w:p>
      <w:pPr>
        <w:spacing w:line="480" w:lineRule="auto"/>
        <w:rPr>
          <w:rFonts w:ascii="宋体" w:hAnsi="宋体"/>
          <w:b/>
          <w:color w:val="auto"/>
          <w:sz w:val="32"/>
          <w:szCs w:val="32"/>
        </w:rPr>
      </w:pPr>
    </w:p>
    <w:p>
      <w:pPr>
        <w:widowControl/>
        <w:jc w:val="left"/>
        <w:rPr>
          <w:rFonts w:ascii="宋体" w:hAnsi="宋体"/>
          <w:color w:val="auto"/>
          <w:sz w:val="28"/>
          <w:szCs w:val="28"/>
        </w:rPr>
      </w:pPr>
      <w:r>
        <w:rPr>
          <w:rFonts w:ascii="宋体" w:hAnsi="宋体"/>
          <w:color w:val="auto"/>
          <w:sz w:val="28"/>
          <w:szCs w:val="28"/>
        </w:rPr>
        <w:br w:type="page"/>
      </w:r>
    </w:p>
    <w:p>
      <w:pPr>
        <w:spacing w:line="360" w:lineRule="auto"/>
        <w:ind w:firstLine="420" w:firstLineChars="150"/>
        <w:rPr>
          <w:rFonts w:ascii="宋体" w:hAnsi="宋体"/>
          <w:b/>
          <w:color w:val="auto"/>
          <w:sz w:val="32"/>
          <w:szCs w:val="32"/>
        </w:rPr>
      </w:pPr>
      <w:r>
        <w:rPr>
          <w:rFonts w:hint="eastAsia" w:ascii="宋体" w:hAnsi="宋体"/>
          <w:color w:val="auto"/>
          <w:sz w:val="28"/>
          <w:szCs w:val="28"/>
        </w:rPr>
        <w:t xml:space="preserve">附件三 </w:t>
      </w:r>
      <w:r>
        <w:rPr>
          <w:rFonts w:hint="eastAsia" w:ascii="宋体" w:hAnsi="宋体"/>
          <w:b/>
          <w:color w:val="auto"/>
          <w:sz w:val="32"/>
          <w:szCs w:val="32"/>
        </w:rPr>
        <w:t xml:space="preserve">       </w:t>
      </w:r>
      <w:r>
        <w:rPr>
          <w:rFonts w:hint="eastAsia" w:ascii="宋体" w:hAnsi="宋体"/>
          <w:b/>
          <w:color w:val="auto"/>
          <w:sz w:val="32"/>
          <w:szCs w:val="32"/>
          <w:lang w:eastAsia="zh-CN"/>
        </w:rPr>
        <w:t>（</w:t>
      </w:r>
      <w:r>
        <w:rPr>
          <w:rFonts w:hint="eastAsia" w:ascii="宋体" w:hAnsi="宋体"/>
          <w:b/>
          <w:color w:val="auto"/>
          <w:sz w:val="32"/>
          <w:szCs w:val="32"/>
          <w:lang w:val="en-US" w:eastAsia="zh-CN"/>
        </w:rPr>
        <w:t>2</w:t>
      </w:r>
      <w:r>
        <w:rPr>
          <w:rFonts w:hint="eastAsia" w:ascii="宋体" w:hAnsi="宋体"/>
          <w:b/>
          <w:color w:val="auto"/>
          <w:sz w:val="32"/>
          <w:szCs w:val="32"/>
          <w:lang w:eastAsia="zh-CN"/>
        </w:rPr>
        <w:t>）</w:t>
      </w:r>
      <w:r>
        <w:rPr>
          <w:rFonts w:hint="eastAsia" w:ascii="宋体" w:hAnsi="宋体"/>
          <w:b/>
          <w:color w:val="auto"/>
          <w:sz w:val="32"/>
          <w:szCs w:val="32"/>
        </w:rPr>
        <w:t xml:space="preserve">       </w:t>
      </w:r>
    </w:p>
    <w:p>
      <w:pPr>
        <w:spacing w:line="480" w:lineRule="auto"/>
        <w:ind w:firstLine="480" w:firstLineChars="200"/>
        <w:jc w:val="center"/>
        <w:rPr>
          <w:rFonts w:ascii="宋体" w:hAnsi="宋体"/>
          <w:b/>
          <w:color w:val="auto"/>
          <w:sz w:val="24"/>
          <w:szCs w:val="24"/>
        </w:rPr>
      </w:pPr>
      <w:r>
        <w:rPr>
          <w:rFonts w:hint="eastAsia" w:ascii="宋体" w:hAnsi="宋体"/>
          <w:b/>
          <w:color w:val="auto"/>
          <w:sz w:val="24"/>
          <w:szCs w:val="24"/>
          <w:lang w:eastAsia="zh-CN"/>
        </w:rPr>
        <w:t>二</w:t>
      </w:r>
      <w:r>
        <w:rPr>
          <w:rFonts w:hint="eastAsia" w:ascii="宋体" w:hAnsi="宋体"/>
          <w:b/>
          <w:color w:val="auto"/>
          <w:sz w:val="24"/>
          <w:szCs w:val="24"/>
        </w:rPr>
        <w:t xml:space="preserve"> 次 报 价 表</w:t>
      </w:r>
    </w:p>
    <w:p>
      <w:pPr>
        <w:spacing w:line="480" w:lineRule="auto"/>
        <w:ind w:firstLine="120" w:firstLineChars="50"/>
        <w:rPr>
          <w:rFonts w:ascii="宋体" w:hAnsi="宋体"/>
          <w:color w:val="auto"/>
          <w:sz w:val="24"/>
          <w:szCs w:val="24"/>
          <w:u w:val="single"/>
        </w:rPr>
      </w:pPr>
      <w:r>
        <w:rPr>
          <w:rFonts w:hint="eastAsia" w:ascii="宋体" w:hAnsi="宋体"/>
          <w:color w:val="auto"/>
          <w:sz w:val="24"/>
          <w:szCs w:val="24"/>
        </w:rPr>
        <w:t>竞争性谈判项目名称：</w:t>
      </w:r>
      <w:r>
        <w:rPr>
          <w:rFonts w:hint="eastAsia" w:ascii="宋体" w:hAnsi="宋体"/>
          <w:color w:val="auto"/>
          <w:kern w:val="0"/>
          <w:sz w:val="24"/>
          <w:u w:val="single"/>
        </w:rPr>
        <w:t>台州市行政中心3号楼智慧消防项目</w:t>
      </w:r>
    </w:p>
    <w:p>
      <w:pPr>
        <w:spacing w:line="480" w:lineRule="auto"/>
        <w:ind w:firstLine="120" w:firstLineChars="50"/>
        <w:rPr>
          <w:rFonts w:ascii="宋体" w:hAnsi="宋体"/>
          <w:color w:val="auto"/>
          <w:sz w:val="24"/>
          <w:szCs w:val="24"/>
        </w:rPr>
      </w:pPr>
      <w:r>
        <w:rPr>
          <w:rFonts w:hint="eastAsia" w:ascii="宋体" w:hAnsi="宋体"/>
          <w:color w:val="auto"/>
          <w:sz w:val="24"/>
          <w:szCs w:val="24"/>
        </w:rPr>
        <w:t>竞争性谈判编号：</w:t>
      </w:r>
      <w:r>
        <w:rPr>
          <w:rFonts w:hint="eastAsia" w:ascii="宋体" w:hAnsi="宋体"/>
          <w:color w:val="auto"/>
          <w:kern w:val="0"/>
          <w:sz w:val="24"/>
          <w:szCs w:val="24"/>
          <w:u w:val="single"/>
        </w:rPr>
        <w:t xml:space="preserve">             </w:t>
      </w:r>
      <w:r>
        <w:rPr>
          <w:rFonts w:hint="eastAsia" w:ascii="宋体" w:hAnsi="宋体"/>
          <w:color w:val="auto"/>
          <w:sz w:val="24"/>
          <w:szCs w:val="24"/>
        </w:rPr>
        <w:t xml:space="preserve"> 标项：</w:t>
      </w:r>
      <w:r>
        <w:rPr>
          <w:rFonts w:hint="eastAsia" w:ascii="宋体" w:hAnsi="宋体"/>
          <w:color w:val="auto"/>
          <w:sz w:val="24"/>
          <w:szCs w:val="24"/>
          <w:u w:val="single"/>
        </w:rPr>
        <w:t xml:space="preserve">    一     </w:t>
      </w:r>
      <w:r>
        <w:rPr>
          <w:rFonts w:hint="eastAsia" w:ascii="宋体" w:hAnsi="宋体"/>
          <w:color w:val="auto"/>
          <w:sz w:val="24"/>
          <w:szCs w:val="24"/>
        </w:rPr>
        <w:t xml:space="preserve"> </w:t>
      </w:r>
    </w:p>
    <w:tbl>
      <w:tblPr>
        <w:tblStyle w:val="5"/>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62"/>
        <w:gridCol w:w="2169"/>
        <w:gridCol w:w="850"/>
        <w:gridCol w:w="993"/>
        <w:gridCol w:w="155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0"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标项</w:t>
            </w:r>
          </w:p>
        </w:tc>
        <w:tc>
          <w:tcPr>
            <w:tcW w:w="3431" w:type="dxa"/>
            <w:gridSpan w:val="2"/>
            <w:vAlign w:val="center"/>
          </w:tcPr>
          <w:p>
            <w:pPr>
              <w:spacing w:line="480" w:lineRule="auto"/>
              <w:ind w:firstLine="480" w:firstLineChars="200"/>
              <w:jc w:val="center"/>
              <w:rPr>
                <w:rFonts w:ascii="宋体" w:hAnsi="宋体"/>
                <w:color w:val="auto"/>
                <w:sz w:val="24"/>
                <w:szCs w:val="24"/>
              </w:rPr>
            </w:pPr>
            <w:r>
              <w:rPr>
                <w:rFonts w:hint="eastAsia" w:ascii="宋体" w:hAnsi="宋体"/>
                <w:color w:val="auto"/>
                <w:sz w:val="24"/>
                <w:szCs w:val="24"/>
              </w:rPr>
              <w:t>项目名称</w:t>
            </w:r>
          </w:p>
        </w:tc>
        <w:tc>
          <w:tcPr>
            <w:tcW w:w="850"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单位</w:t>
            </w:r>
          </w:p>
        </w:tc>
        <w:tc>
          <w:tcPr>
            <w:tcW w:w="993"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数量</w:t>
            </w:r>
          </w:p>
        </w:tc>
        <w:tc>
          <w:tcPr>
            <w:tcW w:w="1559"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总价</w:t>
            </w:r>
          </w:p>
        </w:tc>
        <w:tc>
          <w:tcPr>
            <w:tcW w:w="1305"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30" w:type="dxa"/>
            <w:vAlign w:val="center"/>
          </w:tcPr>
          <w:p>
            <w:pPr>
              <w:spacing w:line="480" w:lineRule="auto"/>
              <w:jc w:val="center"/>
              <w:rPr>
                <w:rFonts w:ascii="宋体" w:hAnsi="宋体"/>
                <w:color w:val="auto"/>
                <w:sz w:val="24"/>
                <w:szCs w:val="24"/>
              </w:rPr>
            </w:pPr>
            <w:r>
              <w:rPr>
                <w:rFonts w:hint="eastAsia" w:ascii="宋体" w:hAnsi="宋体"/>
                <w:color w:val="auto"/>
                <w:sz w:val="24"/>
                <w:szCs w:val="24"/>
              </w:rPr>
              <w:t>一</w:t>
            </w:r>
          </w:p>
        </w:tc>
        <w:tc>
          <w:tcPr>
            <w:tcW w:w="3431" w:type="dxa"/>
            <w:gridSpan w:val="2"/>
            <w:vAlign w:val="center"/>
          </w:tcPr>
          <w:p>
            <w:pPr>
              <w:spacing w:line="440" w:lineRule="exact"/>
              <w:jc w:val="center"/>
              <w:rPr>
                <w:rFonts w:ascii="宋体" w:hAnsi="宋体"/>
                <w:color w:val="auto"/>
                <w:sz w:val="24"/>
                <w:szCs w:val="24"/>
              </w:rPr>
            </w:pPr>
            <w:r>
              <w:rPr>
                <w:rFonts w:hint="eastAsia" w:ascii="宋体" w:hAnsi="宋体"/>
                <w:color w:val="auto"/>
                <w:kern w:val="0"/>
                <w:sz w:val="24"/>
              </w:rPr>
              <w:t>台州市行政中心3号楼智慧消防项目</w:t>
            </w:r>
          </w:p>
        </w:tc>
        <w:tc>
          <w:tcPr>
            <w:tcW w:w="850" w:type="dxa"/>
            <w:vAlign w:val="center"/>
          </w:tcPr>
          <w:p>
            <w:pPr>
              <w:spacing w:line="480" w:lineRule="auto"/>
              <w:jc w:val="center"/>
              <w:rPr>
                <w:rFonts w:hint="eastAsia" w:ascii="宋体" w:hAnsi="宋体" w:eastAsiaTheme="minorEastAsia"/>
                <w:color w:val="auto"/>
                <w:sz w:val="24"/>
                <w:szCs w:val="24"/>
                <w:lang w:eastAsia="zh-CN"/>
              </w:rPr>
            </w:pPr>
            <w:r>
              <w:rPr>
                <w:rFonts w:hint="eastAsia" w:ascii="宋体" w:hAnsi="宋体"/>
                <w:color w:val="auto"/>
                <w:sz w:val="24"/>
                <w:szCs w:val="24"/>
                <w:lang w:eastAsia="zh-CN"/>
              </w:rPr>
              <w:t>年</w:t>
            </w:r>
          </w:p>
        </w:tc>
        <w:tc>
          <w:tcPr>
            <w:tcW w:w="993" w:type="dxa"/>
            <w:vAlign w:val="center"/>
          </w:tcPr>
          <w:p>
            <w:pPr>
              <w:spacing w:line="480" w:lineRule="auto"/>
              <w:jc w:val="center"/>
              <w:rPr>
                <w:rFonts w:ascii="宋体" w:hAnsi="宋体"/>
                <w:color w:val="auto"/>
                <w:sz w:val="24"/>
                <w:szCs w:val="24"/>
              </w:rPr>
            </w:pPr>
            <w:r>
              <w:rPr>
                <w:rFonts w:ascii="宋体" w:hAnsi="宋体"/>
                <w:color w:val="auto"/>
                <w:sz w:val="24"/>
                <w:szCs w:val="24"/>
              </w:rPr>
              <w:t>1</w:t>
            </w:r>
          </w:p>
        </w:tc>
        <w:tc>
          <w:tcPr>
            <w:tcW w:w="1559" w:type="dxa"/>
            <w:vAlign w:val="center"/>
          </w:tcPr>
          <w:p>
            <w:pPr>
              <w:spacing w:line="480" w:lineRule="auto"/>
              <w:ind w:firstLine="480" w:firstLineChars="200"/>
              <w:jc w:val="center"/>
              <w:rPr>
                <w:rFonts w:ascii="宋体" w:hAnsi="宋体"/>
                <w:color w:val="auto"/>
                <w:sz w:val="24"/>
                <w:szCs w:val="24"/>
              </w:rPr>
            </w:pPr>
          </w:p>
        </w:tc>
        <w:tc>
          <w:tcPr>
            <w:tcW w:w="1305" w:type="dxa"/>
            <w:vAlign w:val="center"/>
          </w:tcPr>
          <w:p>
            <w:pPr>
              <w:spacing w:line="48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92" w:type="dxa"/>
            <w:gridSpan w:val="2"/>
            <w:vAlign w:val="center"/>
          </w:tcPr>
          <w:p>
            <w:pPr>
              <w:spacing w:line="480" w:lineRule="auto"/>
              <w:ind w:firstLine="480" w:firstLineChars="200"/>
              <w:jc w:val="center"/>
              <w:rPr>
                <w:rFonts w:ascii="宋体" w:hAnsi="宋体"/>
                <w:color w:val="auto"/>
                <w:sz w:val="24"/>
                <w:szCs w:val="24"/>
              </w:rPr>
            </w:pPr>
            <w:r>
              <w:rPr>
                <w:rFonts w:hint="eastAsia" w:ascii="宋体" w:hAnsi="宋体"/>
                <w:color w:val="auto"/>
                <w:sz w:val="24"/>
                <w:szCs w:val="24"/>
              </w:rPr>
              <w:t>合计：</w:t>
            </w:r>
          </w:p>
        </w:tc>
        <w:tc>
          <w:tcPr>
            <w:tcW w:w="6876" w:type="dxa"/>
            <w:gridSpan w:val="5"/>
            <w:vAlign w:val="center"/>
          </w:tcPr>
          <w:p>
            <w:pPr>
              <w:spacing w:line="480" w:lineRule="auto"/>
              <w:rPr>
                <w:rFonts w:ascii="宋体" w:hAnsi="宋体"/>
                <w:color w:val="auto"/>
                <w:sz w:val="24"/>
                <w:szCs w:val="24"/>
              </w:rPr>
            </w:pPr>
            <w:r>
              <w:rPr>
                <w:rFonts w:hint="eastAsia" w:ascii="宋体" w:hAnsi="宋体"/>
                <w:color w:val="auto"/>
                <w:sz w:val="24"/>
                <w:szCs w:val="24"/>
              </w:rPr>
              <w:t>人民币大写：         ，小写：￥           元</w:t>
            </w:r>
          </w:p>
        </w:tc>
      </w:tr>
    </w:tbl>
    <w:p>
      <w:pPr>
        <w:spacing w:line="480" w:lineRule="auto"/>
        <w:ind w:firstLine="480" w:firstLineChars="200"/>
        <w:rPr>
          <w:rFonts w:ascii="宋体" w:hAnsi="宋体"/>
          <w:color w:val="auto"/>
          <w:sz w:val="24"/>
          <w:szCs w:val="24"/>
        </w:rPr>
      </w:pPr>
      <w:r>
        <w:rPr>
          <w:rFonts w:hint="eastAsia" w:ascii="宋体" w:hAnsi="宋体"/>
          <w:color w:val="auto"/>
          <w:sz w:val="24"/>
          <w:szCs w:val="24"/>
        </w:rPr>
        <w:t xml:space="preserve"> </w:t>
      </w: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谈判响应方全称（盖章）：</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法定代表人（或全权代表）（签字）：</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p>
    <w:p>
      <w:pPr>
        <w:spacing w:line="480" w:lineRule="auto"/>
        <w:ind w:firstLine="3720" w:firstLineChars="1550"/>
        <w:rPr>
          <w:rFonts w:ascii="宋体" w:hAnsi="宋体"/>
          <w:color w:val="auto"/>
          <w:sz w:val="24"/>
          <w:szCs w:val="24"/>
        </w:rPr>
      </w:pPr>
      <w:r>
        <w:rPr>
          <w:rFonts w:hint="eastAsia" w:ascii="宋体" w:hAnsi="宋体"/>
          <w:color w:val="auto"/>
          <w:sz w:val="24"/>
          <w:szCs w:val="24"/>
        </w:rPr>
        <w:t>日 期：        年       月        日</w:t>
      </w:r>
    </w:p>
    <w:p>
      <w:pPr>
        <w:spacing w:line="480" w:lineRule="auto"/>
        <w:ind w:firstLine="3720" w:firstLineChars="1550"/>
        <w:rPr>
          <w:rFonts w:ascii="宋体" w:hAnsi="宋体"/>
          <w:color w:val="auto"/>
          <w:sz w:val="24"/>
          <w:szCs w:val="24"/>
        </w:rPr>
      </w:pPr>
    </w:p>
    <w:p>
      <w:pPr>
        <w:spacing w:line="480" w:lineRule="auto"/>
        <w:ind w:firstLine="480" w:firstLineChars="200"/>
        <w:rPr>
          <w:rFonts w:ascii="宋体" w:hAnsi="宋体"/>
          <w:color w:val="auto"/>
          <w:sz w:val="24"/>
          <w:szCs w:val="24"/>
        </w:rPr>
      </w:pPr>
      <w:r>
        <w:rPr>
          <w:rFonts w:hint="eastAsia" w:ascii="宋体" w:hAnsi="宋体"/>
          <w:color w:val="auto"/>
          <w:sz w:val="24"/>
          <w:szCs w:val="24"/>
        </w:rPr>
        <w:t>备注：1、报价一经涂改，应在涂改处加盖单位公章或者由法定代表人或授权委托人签字或盖章，否则其投标作无效标处理；</w:t>
      </w:r>
    </w:p>
    <w:p>
      <w:pPr>
        <w:spacing w:line="480" w:lineRule="auto"/>
        <w:ind w:firstLine="480" w:firstLineChars="200"/>
        <w:rPr>
          <w:rFonts w:ascii="宋体" w:hAnsi="宋体"/>
          <w:color w:val="auto"/>
          <w:sz w:val="24"/>
          <w:szCs w:val="24"/>
        </w:rPr>
      </w:pPr>
      <w:r>
        <w:rPr>
          <w:rFonts w:hint="eastAsia" w:ascii="宋体" w:hAnsi="宋体"/>
          <w:color w:val="auto"/>
          <w:sz w:val="24"/>
          <w:szCs w:val="24"/>
        </w:rPr>
        <w:t>2、项目费用包含全过程的服务，以及税金、验收检测（含第三方验收）、技术服务、售后服务、材料、采购代理服务费等全部费用。</w:t>
      </w:r>
    </w:p>
    <w:p>
      <w:pPr>
        <w:widowControl/>
        <w:jc w:val="left"/>
        <w:rPr>
          <w:rFonts w:ascii="宋体" w:hAnsi="宋体"/>
          <w:color w:val="auto"/>
          <w:sz w:val="28"/>
          <w:szCs w:val="28"/>
        </w:rPr>
      </w:pPr>
    </w:p>
    <w:p>
      <w:pPr>
        <w:spacing w:line="360" w:lineRule="auto"/>
        <w:ind w:firstLine="420" w:firstLineChars="150"/>
        <w:rPr>
          <w:rFonts w:hint="eastAsia" w:ascii="宋体" w:hAnsi="宋体"/>
          <w:color w:val="auto"/>
          <w:sz w:val="28"/>
          <w:szCs w:val="28"/>
        </w:rPr>
      </w:pPr>
    </w:p>
    <w:p>
      <w:pPr>
        <w:spacing w:line="360" w:lineRule="auto"/>
        <w:ind w:firstLine="420" w:firstLineChars="150"/>
        <w:rPr>
          <w:rFonts w:hint="eastAsia" w:ascii="宋体" w:hAnsi="宋体"/>
          <w:color w:val="auto"/>
          <w:sz w:val="28"/>
          <w:szCs w:val="28"/>
        </w:rPr>
      </w:pPr>
    </w:p>
    <w:p>
      <w:pPr>
        <w:spacing w:line="360" w:lineRule="auto"/>
        <w:ind w:firstLine="420" w:firstLineChars="150"/>
        <w:rPr>
          <w:rFonts w:hint="eastAsia" w:ascii="宋体" w:hAnsi="宋体"/>
          <w:color w:val="auto"/>
          <w:sz w:val="28"/>
          <w:szCs w:val="28"/>
        </w:rPr>
      </w:pPr>
    </w:p>
    <w:p>
      <w:pPr>
        <w:spacing w:line="360" w:lineRule="auto"/>
        <w:ind w:firstLine="420" w:firstLineChars="150"/>
        <w:rPr>
          <w:rFonts w:ascii="宋体" w:hAnsi="宋体"/>
          <w:color w:val="auto"/>
          <w:sz w:val="28"/>
          <w:szCs w:val="28"/>
        </w:rPr>
      </w:pPr>
      <w:r>
        <w:rPr>
          <w:rFonts w:hint="eastAsia" w:ascii="宋体" w:hAnsi="宋体"/>
          <w:color w:val="auto"/>
          <w:sz w:val="28"/>
          <w:szCs w:val="28"/>
        </w:rPr>
        <w:t>附件四</w:t>
      </w:r>
    </w:p>
    <w:p>
      <w:pPr>
        <w:spacing w:line="360" w:lineRule="auto"/>
        <w:ind w:firstLine="480" w:firstLineChars="200"/>
        <w:jc w:val="center"/>
        <w:rPr>
          <w:rFonts w:ascii="宋体" w:hAnsi="宋体"/>
          <w:b/>
          <w:color w:val="auto"/>
          <w:sz w:val="24"/>
          <w:szCs w:val="24"/>
        </w:rPr>
      </w:pPr>
      <w:r>
        <w:rPr>
          <w:rFonts w:hint="eastAsia" w:ascii="宋体" w:hAnsi="宋体"/>
          <w:b/>
          <w:color w:val="auto"/>
          <w:sz w:val="24"/>
          <w:szCs w:val="24"/>
        </w:rPr>
        <w:t>谈 判 项 目 明 细 清 单</w:t>
      </w:r>
    </w:p>
    <w:p>
      <w:pPr>
        <w:spacing w:line="480" w:lineRule="auto"/>
        <w:ind w:firstLine="240" w:firstLineChars="100"/>
        <w:rPr>
          <w:rFonts w:ascii="宋体" w:hAnsi="宋体"/>
          <w:color w:val="auto"/>
          <w:kern w:val="0"/>
          <w:sz w:val="24"/>
          <w:u w:val="single"/>
        </w:rPr>
      </w:pPr>
      <w:r>
        <w:rPr>
          <w:rFonts w:hint="eastAsia" w:ascii="宋体" w:hAnsi="宋体"/>
          <w:color w:val="auto"/>
          <w:sz w:val="24"/>
          <w:szCs w:val="24"/>
        </w:rPr>
        <w:t>竞争性谈判项目名称：</w:t>
      </w:r>
      <w:r>
        <w:rPr>
          <w:rFonts w:hint="eastAsia" w:ascii="宋体" w:hAnsi="宋体"/>
          <w:color w:val="auto"/>
          <w:kern w:val="0"/>
          <w:sz w:val="24"/>
          <w:u w:val="single"/>
        </w:rPr>
        <w:t>台州市行政中心3号楼智慧消防项目</w:t>
      </w:r>
    </w:p>
    <w:p>
      <w:pPr>
        <w:spacing w:line="480" w:lineRule="auto"/>
        <w:ind w:firstLine="240" w:firstLineChars="100"/>
        <w:rPr>
          <w:rFonts w:ascii="宋体" w:hAnsi="宋体"/>
          <w:color w:val="auto"/>
          <w:sz w:val="24"/>
          <w:szCs w:val="24"/>
          <w:u w:val="single"/>
        </w:rPr>
      </w:pPr>
      <w:r>
        <w:rPr>
          <w:rFonts w:hint="eastAsia" w:ascii="宋体" w:hAnsi="宋体"/>
          <w:color w:val="auto"/>
          <w:sz w:val="24"/>
          <w:szCs w:val="24"/>
        </w:rPr>
        <w:t>竞争性谈判编号：</w:t>
      </w:r>
      <w:r>
        <w:rPr>
          <w:rFonts w:hint="eastAsia" w:ascii="宋体" w:hAnsi="宋体"/>
          <w:color w:val="auto"/>
          <w:kern w:val="0"/>
          <w:sz w:val="24"/>
          <w:szCs w:val="24"/>
          <w:u w:val="single"/>
        </w:rPr>
        <w:t xml:space="preserve">              </w:t>
      </w:r>
      <w:r>
        <w:rPr>
          <w:rFonts w:hint="eastAsia" w:ascii="宋体" w:hAnsi="宋体"/>
          <w:color w:val="auto"/>
          <w:sz w:val="24"/>
          <w:szCs w:val="24"/>
        </w:rPr>
        <w:t xml:space="preserve">            标项：</w:t>
      </w:r>
      <w:r>
        <w:rPr>
          <w:rFonts w:hint="eastAsia" w:ascii="宋体" w:hAnsi="宋体"/>
          <w:color w:val="auto"/>
          <w:sz w:val="24"/>
          <w:szCs w:val="24"/>
          <w:u w:val="single"/>
        </w:rPr>
        <w:t xml:space="preserve">    一     </w:t>
      </w:r>
      <w:r>
        <w:rPr>
          <w:rFonts w:hint="eastAsia" w:ascii="宋体" w:hAnsi="宋体"/>
          <w:color w:val="auto"/>
          <w:sz w:val="24"/>
          <w:szCs w:val="24"/>
        </w:rPr>
        <w:t xml:space="preserve"> </w:t>
      </w:r>
    </w:p>
    <w:tbl>
      <w:tblPr>
        <w:tblStyle w:val="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849"/>
        <w:gridCol w:w="2488"/>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1" w:type="dxa"/>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1849" w:type="dxa"/>
          </w:tcPr>
          <w:p>
            <w:pPr>
              <w:spacing w:line="360" w:lineRule="auto"/>
              <w:jc w:val="center"/>
              <w:rPr>
                <w:rFonts w:ascii="宋体" w:hAnsi="宋体"/>
                <w:color w:val="auto"/>
                <w:sz w:val="24"/>
                <w:szCs w:val="24"/>
              </w:rPr>
            </w:pPr>
            <w:r>
              <w:rPr>
                <w:rFonts w:hint="eastAsia" w:ascii="宋体" w:hAnsi="宋体"/>
                <w:color w:val="auto"/>
                <w:sz w:val="24"/>
                <w:szCs w:val="24"/>
              </w:rPr>
              <w:t>项  目</w:t>
            </w:r>
          </w:p>
        </w:tc>
        <w:tc>
          <w:tcPr>
            <w:tcW w:w="2488" w:type="dxa"/>
          </w:tcPr>
          <w:p>
            <w:pPr>
              <w:spacing w:line="360" w:lineRule="auto"/>
              <w:jc w:val="center"/>
              <w:rPr>
                <w:rFonts w:ascii="宋体" w:hAnsi="宋体"/>
                <w:color w:val="auto"/>
                <w:sz w:val="24"/>
                <w:szCs w:val="24"/>
              </w:rPr>
            </w:pPr>
            <w:r>
              <w:rPr>
                <w:rFonts w:hint="eastAsia" w:ascii="宋体" w:hAnsi="宋体"/>
                <w:color w:val="auto"/>
                <w:sz w:val="24"/>
                <w:szCs w:val="24"/>
              </w:rPr>
              <w:t>单位</w:t>
            </w:r>
          </w:p>
        </w:tc>
        <w:tc>
          <w:tcPr>
            <w:tcW w:w="3313" w:type="dxa"/>
          </w:tcPr>
          <w:p>
            <w:pPr>
              <w:spacing w:line="360" w:lineRule="auto"/>
              <w:jc w:val="center"/>
              <w:rPr>
                <w:rFonts w:ascii="宋体" w:hAnsi="宋体"/>
                <w:color w:val="auto"/>
                <w:sz w:val="24"/>
                <w:szCs w:val="24"/>
              </w:rPr>
            </w:pPr>
            <w:r>
              <w:rPr>
                <w:rFonts w:hint="eastAsia" w:ascii="宋体" w:hAnsi="宋体"/>
                <w:color w:val="auto"/>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auto"/>
              <w:jc w:val="center"/>
              <w:rPr>
                <w:rFonts w:ascii="宋体" w:hAnsi="宋体"/>
                <w:color w:val="auto"/>
                <w:sz w:val="24"/>
                <w:szCs w:val="24"/>
              </w:rPr>
            </w:pPr>
          </w:p>
        </w:tc>
        <w:tc>
          <w:tcPr>
            <w:tcW w:w="1849" w:type="dxa"/>
            <w:vAlign w:val="center"/>
          </w:tcPr>
          <w:p>
            <w:pPr>
              <w:jc w:val="center"/>
              <w:rPr>
                <w:rFonts w:ascii="宋体" w:hAnsi="宋体"/>
                <w:color w:val="auto"/>
              </w:rPr>
            </w:pPr>
          </w:p>
        </w:tc>
        <w:tc>
          <w:tcPr>
            <w:tcW w:w="2488" w:type="dxa"/>
            <w:vAlign w:val="center"/>
          </w:tcPr>
          <w:p>
            <w:pPr>
              <w:rPr>
                <w:rFonts w:ascii="宋体" w:hAnsi="宋体"/>
                <w:color w:val="auto"/>
                <w:sz w:val="24"/>
                <w:szCs w:val="24"/>
              </w:rPr>
            </w:pPr>
          </w:p>
        </w:tc>
        <w:tc>
          <w:tcPr>
            <w:tcW w:w="3313" w:type="dxa"/>
          </w:tcPr>
          <w:p>
            <w:pPr>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auto"/>
              <w:jc w:val="center"/>
              <w:rPr>
                <w:rFonts w:ascii="宋体" w:hAnsi="宋体"/>
                <w:color w:val="auto"/>
                <w:sz w:val="24"/>
                <w:szCs w:val="24"/>
              </w:rPr>
            </w:pPr>
          </w:p>
        </w:tc>
        <w:tc>
          <w:tcPr>
            <w:tcW w:w="1849" w:type="dxa"/>
            <w:vAlign w:val="center"/>
          </w:tcPr>
          <w:p>
            <w:pPr>
              <w:jc w:val="center"/>
              <w:rPr>
                <w:rFonts w:ascii="宋体" w:hAnsi="宋体"/>
                <w:color w:val="auto"/>
              </w:rPr>
            </w:pPr>
          </w:p>
        </w:tc>
        <w:tc>
          <w:tcPr>
            <w:tcW w:w="2488" w:type="dxa"/>
            <w:vAlign w:val="center"/>
          </w:tcPr>
          <w:p>
            <w:pPr>
              <w:rPr>
                <w:rFonts w:ascii="宋体" w:hAnsi="宋体"/>
                <w:color w:val="auto"/>
                <w:sz w:val="24"/>
                <w:szCs w:val="24"/>
              </w:rPr>
            </w:pPr>
          </w:p>
        </w:tc>
        <w:tc>
          <w:tcPr>
            <w:tcW w:w="3313" w:type="dxa"/>
          </w:tcPr>
          <w:p>
            <w:pPr>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auto"/>
              <w:jc w:val="center"/>
              <w:rPr>
                <w:rFonts w:ascii="宋体" w:hAnsi="宋体"/>
                <w:color w:val="auto"/>
                <w:sz w:val="24"/>
                <w:szCs w:val="24"/>
              </w:rPr>
            </w:pPr>
          </w:p>
        </w:tc>
        <w:tc>
          <w:tcPr>
            <w:tcW w:w="1849" w:type="dxa"/>
            <w:vAlign w:val="center"/>
          </w:tcPr>
          <w:p>
            <w:pPr>
              <w:jc w:val="center"/>
              <w:rPr>
                <w:rFonts w:ascii="宋体" w:hAnsi="宋体"/>
                <w:color w:val="auto"/>
              </w:rPr>
            </w:pPr>
          </w:p>
        </w:tc>
        <w:tc>
          <w:tcPr>
            <w:tcW w:w="2488" w:type="dxa"/>
          </w:tcPr>
          <w:p>
            <w:pPr>
              <w:rPr>
                <w:rFonts w:ascii="宋体" w:hAnsi="宋体"/>
                <w:color w:val="auto"/>
                <w:sz w:val="24"/>
                <w:szCs w:val="24"/>
              </w:rPr>
            </w:pPr>
          </w:p>
        </w:tc>
        <w:tc>
          <w:tcPr>
            <w:tcW w:w="3313" w:type="dxa"/>
          </w:tcPr>
          <w:p>
            <w:pPr>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auto"/>
              <w:jc w:val="center"/>
              <w:rPr>
                <w:rFonts w:ascii="宋体" w:hAnsi="宋体"/>
                <w:color w:val="auto"/>
                <w:sz w:val="24"/>
                <w:szCs w:val="24"/>
              </w:rPr>
            </w:pPr>
          </w:p>
        </w:tc>
        <w:tc>
          <w:tcPr>
            <w:tcW w:w="1849" w:type="dxa"/>
            <w:vAlign w:val="center"/>
          </w:tcPr>
          <w:p>
            <w:pPr>
              <w:jc w:val="center"/>
              <w:rPr>
                <w:rFonts w:ascii="宋体" w:hAnsi="宋体"/>
                <w:color w:val="auto"/>
              </w:rPr>
            </w:pPr>
          </w:p>
        </w:tc>
        <w:tc>
          <w:tcPr>
            <w:tcW w:w="2488" w:type="dxa"/>
          </w:tcPr>
          <w:p>
            <w:pPr>
              <w:rPr>
                <w:rFonts w:ascii="宋体" w:hAnsi="宋体"/>
                <w:color w:val="auto"/>
                <w:sz w:val="24"/>
                <w:szCs w:val="24"/>
              </w:rPr>
            </w:pPr>
          </w:p>
        </w:tc>
        <w:tc>
          <w:tcPr>
            <w:tcW w:w="3313" w:type="dxa"/>
          </w:tcPr>
          <w:p>
            <w:pPr>
              <w:spacing w:line="360" w:lineRule="auto"/>
              <w:ind w:left="1" w:leftChars="-51" w:hanging="108" w:hangingChars="45"/>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auto"/>
              <w:jc w:val="center"/>
              <w:rPr>
                <w:rFonts w:ascii="宋体" w:hAnsi="宋体"/>
                <w:color w:val="auto"/>
                <w:sz w:val="24"/>
                <w:szCs w:val="24"/>
              </w:rPr>
            </w:pPr>
          </w:p>
        </w:tc>
        <w:tc>
          <w:tcPr>
            <w:tcW w:w="1849" w:type="dxa"/>
            <w:vAlign w:val="center"/>
          </w:tcPr>
          <w:p>
            <w:pPr>
              <w:jc w:val="center"/>
              <w:rPr>
                <w:rFonts w:ascii="宋体" w:hAnsi="宋体"/>
                <w:color w:val="auto"/>
              </w:rPr>
            </w:pPr>
          </w:p>
        </w:tc>
        <w:tc>
          <w:tcPr>
            <w:tcW w:w="2488" w:type="dxa"/>
          </w:tcPr>
          <w:p>
            <w:pPr>
              <w:rPr>
                <w:rFonts w:ascii="宋体" w:hAnsi="宋体"/>
                <w:color w:val="auto"/>
                <w:sz w:val="24"/>
                <w:szCs w:val="24"/>
              </w:rPr>
            </w:pPr>
          </w:p>
        </w:tc>
        <w:tc>
          <w:tcPr>
            <w:tcW w:w="3313" w:type="dxa"/>
          </w:tcPr>
          <w:p>
            <w:pPr>
              <w:spacing w:line="360" w:lineRule="auto"/>
              <w:ind w:left="1" w:leftChars="-51" w:hanging="108" w:hangingChars="45"/>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pacing w:line="360" w:lineRule="auto"/>
              <w:jc w:val="center"/>
              <w:rPr>
                <w:rFonts w:ascii="宋体" w:hAnsi="宋体"/>
                <w:color w:val="auto"/>
                <w:sz w:val="24"/>
                <w:szCs w:val="24"/>
              </w:rPr>
            </w:pPr>
          </w:p>
        </w:tc>
        <w:tc>
          <w:tcPr>
            <w:tcW w:w="1849" w:type="dxa"/>
            <w:vAlign w:val="center"/>
          </w:tcPr>
          <w:p>
            <w:pPr>
              <w:jc w:val="center"/>
              <w:rPr>
                <w:rFonts w:ascii="宋体" w:hAnsi="宋体"/>
                <w:color w:val="auto"/>
              </w:rPr>
            </w:pPr>
          </w:p>
        </w:tc>
        <w:tc>
          <w:tcPr>
            <w:tcW w:w="2488" w:type="dxa"/>
          </w:tcPr>
          <w:p>
            <w:pPr>
              <w:rPr>
                <w:rFonts w:ascii="宋体" w:hAnsi="宋体"/>
                <w:color w:val="auto"/>
                <w:sz w:val="24"/>
                <w:szCs w:val="24"/>
              </w:rPr>
            </w:pPr>
          </w:p>
        </w:tc>
        <w:tc>
          <w:tcPr>
            <w:tcW w:w="3313" w:type="dxa"/>
          </w:tcPr>
          <w:p>
            <w:pPr>
              <w:spacing w:line="360" w:lineRule="auto"/>
              <w:ind w:left="1" w:leftChars="-51" w:hanging="108" w:hangingChars="45"/>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811" w:type="dxa"/>
          </w:tcPr>
          <w:p>
            <w:pPr>
              <w:spacing w:line="360" w:lineRule="auto"/>
              <w:jc w:val="center"/>
              <w:rPr>
                <w:rFonts w:ascii="宋体" w:hAnsi="宋体"/>
                <w:color w:val="auto"/>
                <w:sz w:val="24"/>
                <w:szCs w:val="24"/>
              </w:rPr>
            </w:pPr>
          </w:p>
        </w:tc>
        <w:tc>
          <w:tcPr>
            <w:tcW w:w="1849" w:type="dxa"/>
            <w:vAlign w:val="center"/>
          </w:tcPr>
          <w:p>
            <w:pPr>
              <w:jc w:val="center"/>
              <w:rPr>
                <w:rFonts w:ascii="宋体" w:hAnsi="宋体"/>
                <w:color w:val="auto"/>
              </w:rPr>
            </w:pPr>
          </w:p>
        </w:tc>
        <w:tc>
          <w:tcPr>
            <w:tcW w:w="2488" w:type="dxa"/>
          </w:tcPr>
          <w:p>
            <w:pPr>
              <w:rPr>
                <w:rFonts w:ascii="宋体" w:hAnsi="宋体"/>
                <w:color w:val="auto"/>
                <w:sz w:val="24"/>
                <w:szCs w:val="24"/>
              </w:rPr>
            </w:pPr>
          </w:p>
        </w:tc>
        <w:tc>
          <w:tcPr>
            <w:tcW w:w="3313" w:type="dxa"/>
          </w:tcPr>
          <w:p>
            <w:pPr>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11" w:type="dxa"/>
          </w:tcPr>
          <w:p>
            <w:pPr>
              <w:spacing w:line="360" w:lineRule="auto"/>
              <w:jc w:val="center"/>
              <w:rPr>
                <w:rFonts w:ascii="宋体" w:hAnsi="宋体"/>
                <w:color w:val="auto"/>
                <w:sz w:val="24"/>
                <w:szCs w:val="24"/>
              </w:rPr>
            </w:pPr>
          </w:p>
        </w:tc>
        <w:tc>
          <w:tcPr>
            <w:tcW w:w="1849" w:type="dxa"/>
            <w:vAlign w:val="center"/>
          </w:tcPr>
          <w:p>
            <w:pPr>
              <w:jc w:val="center"/>
              <w:rPr>
                <w:rFonts w:ascii="宋体" w:hAnsi="宋体"/>
                <w:color w:val="auto"/>
              </w:rPr>
            </w:pPr>
          </w:p>
        </w:tc>
        <w:tc>
          <w:tcPr>
            <w:tcW w:w="2488" w:type="dxa"/>
          </w:tcPr>
          <w:p>
            <w:pPr>
              <w:rPr>
                <w:rFonts w:ascii="宋体" w:hAnsi="宋体"/>
                <w:color w:val="auto"/>
                <w:sz w:val="24"/>
                <w:szCs w:val="24"/>
              </w:rPr>
            </w:pPr>
          </w:p>
        </w:tc>
        <w:tc>
          <w:tcPr>
            <w:tcW w:w="3313" w:type="dxa"/>
            <w:tcBorders>
              <w:top w:val="nil"/>
            </w:tcBorders>
          </w:tcPr>
          <w:p>
            <w:pPr>
              <w:spacing w:line="360" w:lineRule="auto"/>
              <w:ind w:left="1" w:leftChars="-51" w:hanging="108" w:hangingChars="45"/>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11" w:type="dxa"/>
          </w:tcPr>
          <w:p>
            <w:pPr>
              <w:spacing w:line="360" w:lineRule="auto"/>
              <w:jc w:val="center"/>
              <w:rPr>
                <w:rFonts w:ascii="宋体" w:hAnsi="宋体"/>
                <w:color w:val="auto"/>
                <w:sz w:val="24"/>
                <w:szCs w:val="24"/>
              </w:rPr>
            </w:pPr>
          </w:p>
        </w:tc>
        <w:tc>
          <w:tcPr>
            <w:tcW w:w="1849" w:type="dxa"/>
            <w:vAlign w:val="center"/>
          </w:tcPr>
          <w:p>
            <w:pPr>
              <w:jc w:val="center"/>
              <w:rPr>
                <w:rFonts w:ascii="宋体" w:hAnsi="宋体"/>
                <w:color w:val="auto"/>
              </w:rPr>
            </w:pPr>
          </w:p>
        </w:tc>
        <w:tc>
          <w:tcPr>
            <w:tcW w:w="2488" w:type="dxa"/>
          </w:tcPr>
          <w:p>
            <w:pPr>
              <w:rPr>
                <w:rFonts w:ascii="宋体" w:hAnsi="宋体"/>
                <w:color w:val="auto"/>
                <w:sz w:val="24"/>
                <w:szCs w:val="24"/>
              </w:rPr>
            </w:pPr>
          </w:p>
        </w:tc>
        <w:tc>
          <w:tcPr>
            <w:tcW w:w="3313" w:type="dxa"/>
          </w:tcPr>
          <w:p>
            <w:pPr>
              <w:spacing w:line="360" w:lineRule="auto"/>
              <w:ind w:left="1" w:leftChars="-51" w:hanging="108" w:hangingChars="45"/>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811" w:type="dxa"/>
          </w:tcPr>
          <w:p>
            <w:pPr>
              <w:spacing w:line="360" w:lineRule="auto"/>
              <w:jc w:val="center"/>
              <w:rPr>
                <w:rFonts w:ascii="宋体" w:hAnsi="宋体"/>
                <w:color w:val="auto"/>
                <w:sz w:val="24"/>
                <w:szCs w:val="24"/>
              </w:rPr>
            </w:pPr>
          </w:p>
        </w:tc>
        <w:tc>
          <w:tcPr>
            <w:tcW w:w="1849" w:type="dxa"/>
            <w:vAlign w:val="center"/>
          </w:tcPr>
          <w:p>
            <w:pPr>
              <w:rPr>
                <w:rFonts w:ascii="宋体" w:hAnsi="宋体"/>
                <w:color w:val="auto"/>
              </w:rPr>
            </w:pPr>
          </w:p>
        </w:tc>
        <w:tc>
          <w:tcPr>
            <w:tcW w:w="2488" w:type="dxa"/>
          </w:tcPr>
          <w:p>
            <w:pPr>
              <w:rPr>
                <w:rFonts w:ascii="宋体" w:hAnsi="宋体"/>
                <w:color w:val="auto"/>
                <w:sz w:val="24"/>
                <w:szCs w:val="24"/>
              </w:rPr>
            </w:pPr>
          </w:p>
        </w:tc>
        <w:tc>
          <w:tcPr>
            <w:tcW w:w="3313" w:type="dxa"/>
            <w:tcBorders>
              <w:top w:val="nil"/>
            </w:tcBorders>
          </w:tcPr>
          <w:p>
            <w:pPr>
              <w:spacing w:line="360" w:lineRule="auto"/>
              <w:ind w:left="1" w:leftChars="-51" w:hanging="108" w:hangingChars="45"/>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1" w:type="dxa"/>
          </w:tcPr>
          <w:p>
            <w:pPr>
              <w:spacing w:line="360" w:lineRule="auto"/>
              <w:jc w:val="center"/>
              <w:rPr>
                <w:rFonts w:ascii="宋体" w:hAnsi="宋体"/>
                <w:color w:val="auto"/>
                <w:sz w:val="24"/>
                <w:szCs w:val="24"/>
              </w:rPr>
            </w:pPr>
          </w:p>
        </w:tc>
        <w:tc>
          <w:tcPr>
            <w:tcW w:w="1849" w:type="dxa"/>
            <w:vAlign w:val="center"/>
          </w:tcPr>
          <w:p>
            <w:pPr>
              <w:jc w:val="center"/>
              <w:rPr>
                <w:rFonts w:ascii="宋体" w:hAnsi="宋体"/>
                <w:color w:val="auto"/>
              </w:rPr>
            </w:pPr>
          </w:p>
        </w:tc>
        <w:tc>
          <w:tcPr>
            <w:tcW w:w="2488" w:type="dxa"/>
          </w:tcPr>
          <w:p>
            <w:pPr>
              <w:rPr>
                <w:rFonts w:ascii="宋体" w:hAnsi="宋体"/>
                <w:color w:val="auto"/>
                <w:sz w:val="24"/>
                <w:szCs w:val="24"/>
              </w:rPr>
            </w:pPr>
          </w:p>
        </w:tc>
        <w:tc>
          <w:tcPr>
            <w:tcW w:w="3313" w:type="dxa"/>
            <w:tcBorders>
              <w:top w:val="nil"/>
            </w:tcBorders>
          </w:tcPr>
          <w:p>
            <w:pPr>
              <w:spacing w:line="360" w:lineRule="auto"/>
              <w:ind w:left="1" w:leftChars="-51" w:hanging="108" w:hangingChars="45"/>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811" w:type="dxa"/>
          </w:tcPr>
          <w:p>
            <w:pPr>
              <w:spacing w:line="360" w:lineRule="auto"/>
              <w:jc w:val="center"/>
              <w:rPr>
                <w:rFonts w:ascii="宋体" w:hAnsi="宋体"/>
                <w:color w:val="auto"/>
                <w:sz w:val="24"/>
                <w:szCs w:val="24"/>
              </w:rPr>
            </w:pPr>
          </w:p>
        </w:tc>
        <w:tc>
          <w:tcPr>
            <w:tcW w:w="1849" w:type="dxa"/>
          </w:tcPr>
          <w:p>
            <w:pPr>
              <w:rPr>
                <w:rFonts w:ascii="宋体" w:hAnsi="宋体"/>
                <w:color w:val="auto"/>
                <w:sz w:val="24"/>
                <w:szCs w:val="24"/>
              </w:rPr>
            </w:pPr>
          </w:p>
        </w:tc>
        <w:tc>
          <w:tcPr>
            <w:tcW w:w="2488" w:type="dxa"/>
          </w:tcPr>
          <w:p>
            <w:pPr>
              <w:rPr>
                <w:rFonts w:ascii="宋体" w:hAnsi="宋体"/>
                <w:color w:val="auto"/>
                <w:sz w:val="24"/>
                <w:szCs w:val="24"/>
              </w:rPr>
            </w:pPr>
          </w:p>
        </w:tc>
        <w:tc>
          <w:tcPr>
            <w:tcW w:w="3313" w:type="dxa"/>
            <w:tcBorders>
              <w:top w:val="nil"/>
            </w:tcBorders>
          </w:tcPr>
          <w:p>
            <w:pPr>
              <w:spacing w:line="360" w:lineRule="auto"/>
              <w:ind w:left="1" w:leftChars="-51" w:hanging="108" w:hangingChars="45"/>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660" w:type="dxa"/>
            <w:gridSpan w:val="2"/>
            <w:vMerge w:val="restart"/>
            <w:vAlign w:val="center"/>
          </w:tcPr>
          <w:p>
            <w:pPr>
              <w:spacing w:line="360" w:lineRule="auto"/>
              <w:jc w:val="center"/>
              <w:rPr>
                <w:rFonts w:ascii="宋体" w:hAnsi="宋体"/>
                <w:color w:val="auto"/>
                <w:sz w:val="24"/>
                <w:szCs w:val="24"/>
              </w:rPr>
            </w:pPr>
            <w:r>
              <w:rPr>
                <w:rFonts w:hint="eastAsia" w:ascii="宋体" w:hAnsi="宋体" w:cs="宋体"/>
                <w:color w:val="auto"/>
                <w:kern w:val="0"/>
                <w:sz w:val="24"/>
                <w:szCs w:val="24"/>
              </w:rPr>
              <w:t>合计（组合单价）</w:t>
            </w:r>
          </w:p>
        </w:tc>
        <w:tc>
          <w:tcPr>
            <w:tcW w:w="5801" w:type="dxa"/>
            <w:gridSpan w:val="2"/>
            <w:vAlign w:val="bottom"/>
          </w:tcPr>
          <w:p>
            <w:pPr>
              <w:widowControl/>
              <w:jc w:val="right"/>
              <w:rPr>
                <w:rFonts w:ascii="宋体" w:hAnsi="宋体" w:cs="宋体"/>
                <w:color w:val="auto"/>
                <w:kern w:val="0"/>
                <w:sz w:val="24"/>
                <w:szCs w:val="24"/>
              </w:rPr>
            </w:pPr>
            <w:r>
              <w:rPr>
                <w:rFonts w:hint="eastAsia" w:ascii="宋体" w:hAnsi="宋体" w:cs="宋体"/>
                <w:color w:val="auto"/>
                <w:kern w:val="0"/>
                <w:sz w:val="24"/>
                <w:szCs w:val="24"/>
              </w:rPr>
              <w:t>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660" w:type="dxa"/>
            <w:gridSpan w:val="2"/>
            <w:vMerge w:val="continue"/>
          </w:tcPr>
          <w:p>
            <w:pPr>
              <w:spacing w:line="360" w:lineRule="auto"/>
              <w:jc w:val="left"/>
              <w:rPr>
                <w:rFonts w:ascii="宋体" w:hAnsi="宋体"/>
                <w:color w:val="auto"/>
                <w:sz w:val="24"/>
                <w:szCs w:val="24"/>
              </w:rPr>
            </w:pPr>
          </w:p>
        </w:tc>
        <w:tc>
          <w:tcPr>
            <w:tcW w:w="5801" w:type="dxa"/>
            <w:gridSpan w:val="2"/>
            <w:vAlign w:val="bottom"/>
          </w:tcPr>
          <w:p>
            <w:pPr>
              <w:jc w:val="right"/>
              <w:rPr>
                <w:rFonts w:ascii="宋体" w:hAnsi="宋体" w:cs="宋体"/>
                <w:color w:val="auto"/>
                <w:kern w:val="0"/>
                <w:sz w:val="24"/>
                <w:szCs w:val="24"/>
              </w:rPr>
            </w:pPr>
            <w:r>
              <w:rPr>
                <w:rFonts w:hint="eastAsia" w:ascii="宋体" w:hAnsi="宋体" w:cs="宋体"/>
                <w:color w:val="auto"/>
                <w:kern w:val="0"/>
                <w:sz w:val="24"/>
                <w:szCs w:val="24"/>
              </w:rPr>
              <w:t>（小写）</w:t>
            </w:r>
          </w:p>
        </w:tc>
      </w:tr>
    </w:tbl>
    <w:p>
      <w:pPr>
        <w:spacing w:line="480" w:lineRule="auto"/>
        <w:ind w:firstLine="480" w:firstLineChars="200"/>
        <w:rPr>
          <w:rFonts w:ascii="宋体" w:hAnsi="宋体"/>
          <w:color w:val="auto"/>
          <w:sz w:val="24"/>
          <w:szCs w:val="24"/>
        </w:rPr>
      </w:pPr>
      <w:r>
        <w:rPr>
          <w:rFonts w:hint="eastAsia" w:ascii="宋体" w:hAnsi="宋体"/>
          <w:color w:val="auto"/>
          <w:sz w:val="24"/>
          <w:szCs w:val="24"/>
        </w:rPr>
        <w:t>谈判响应方全称（盖章）：</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法定代表人（或全权代表）（签字）：</w:t>
      </w:r>
      <w:r>
        <w:rPr>
          <w:rFonts w:hint="eastAsia" w:ascii="宋体" w:hAnsi="宋体"/>
          <w:color w:val="auto"/>
          <w:sz w:val="24"/>
          <w:szCs w:val="24"/>
          <w:u w:val="single"/>
        </w:rPr>
        <w:t xml:space="preserve">                                               </w:t>
      </w:r>
    </w:p>
    <w:p>
      <w:pPr>
        <w:spacing w:line="480" w:lineRule="auto"/>
        <w:ind w:firstLine="3480" w:firstLineChars="1450"/>
        <w:rPr>
          <w:rFonts w:ascii="宋体" w:hAnsi="宋体"/>
          <w:color w:val="auto"/>
          <w:sz w:val="24"/>
          <w:szCs w:val="24"/>
        </w:rPr>
      </w:pPr>
      <w:r>
        <w:rPr>
          <w:rFonts w:hint="eastAsia" w:ascii="宋体" w:hAnsi="宋体"/>
          <w:color w:val="auto"/>
          <w:sz w:val="24"/>
          <w:szCs w:val="24"/>
        </w:rPr>
        <w:t>日 期：        年       月        日</w:t>
      </w:r>
    </w:p>
    <w:p>
      <w:pPr>
        <w:spacing w:line="480" w:lineRule="auto"/>
        <w:ind w:firstLine="480" w:firstLineChars="200"/>
        <w:rPr>
          <w:rFonts w:ascii="宋体" w:hAnsi="宋体"/>
          <w:color w:val="auto"/>
          <w:sz w:val="24"/>
          <w:szCs w:val="24"/>
        </w:rPr>
      </w:pPr>
    </w:p>
    <w:p>
      <w:pPr>
        <w:spacing w:line="480" w:lineRule="auto"/>
        <w:ind w:firstLine="480" w:firstLineChars="200"/>
        <w:rPr>
          <w:rFonts w:ascii="宋体" w:hAnsi="宋体"/>
          <w:color w:val="auto"/>
          <w:sz w:val="28"/>
          <w:szCs w:val="28"/>
        </w:rPr>
      </w:pPr>
      <w:r>
        <w:rPr>
          <w:rFonts w:hint="eastAsia" w:ascii="宋体" w:hAnsi="宋体"/>
          <w:color w:val="auto"/>
          <w:sz w:val="24"/>
          <w:szCs w:val="24"/>
        </w:rPr>
        <w:t>注：1、行数不够的请自行添加。</w:t>
      </w:r>
    </w:p>
    <w:p>
      <w:pPr>
        <w:widowControl/>
        <w:jc w:val="left"/>
        <w:rPr>
          <w:rFonts w:ascii="宋体" w:hAnsi="宋体"/>
          <w:color w:val="auto"/>
          <w:sz w:val="28"/>
          <w:szCs w:val="28"/>
        </w:rPr>
      </w:pPr>
      <w:r>
        <w:rPr>
          <w:rFonts w:ascii="宋体" w:hAnsi="宋体"/>
          <w:color w:val="auto"/>
          <w:sz w:val="28"/>
          <w:szCs w:val="28"/>
        </w:rPr>
        <w:br w:type="page"/>
      </w:r>
    </w:p>
    <w:p>
      <w:pPr>
        <w:spacing w:line="360" w:lineRule="auto"/>
        <w:rPr>
          <w:rFonts w:ascii="宋体" w:hAnsi="宋体"/>
          <w:color w:val="auto"/>
          <w:sz w:val="28"/>
          <w:szCs w:val="28"/>
        </w:rPr>
      </w:pPr>
      <w:r>
        <w:rPr>
          <w:rFonts w:hint="eastAsia" w:ascii="宋体" w:hAnsi="宋体"/>
          <w:color w:val="auto"/>
          <w:sz w:val="28"/>
          <w:szCs w:val="28"/>
        </w:rPr>
        <w:t>附件五</w:t>
      </w:r>
    </w:p>
    <w:p>
      <w:pPr>
        <w:spacing w:line="360" w:lineRule="auto"/>
        <w:ind w:firstLine="480" w:firstLineChars="200"/>
        <w:jc w:val="center"/>
        <w:rPr>
          <w:rFonts w:ascii="宋体" w:hAnsi="宋体"/>
          <w:color w:val="auto"/>
          <w:sz w:val="24"/>
          <w:szCs w:val="24"/>
        </w:rPr>
      </w:pPr>
      <w:r>
        <w:rPr>
          <w:rFonts w:hint="eastAsia" w:ascii="宋体" w:hAnsi="宋体"/>
          <w:b/>
          <w:color w:val="auto"/>
          <w:sz w:val="24"/>
          <w:szCs w:val="24"/>
        </w:rPr>
        <w:t>商 务 需 求 响 应 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竞争性谈判编号：</w:t>
      </w:r>
      <w:r>
        <w:rPr>
          <w:rFonts w:hint="eastAsia" w:ascii="宋体" w:hAnsi="宋体"/>
          <w:color w:val="auto"/>
          <w:sz w:val="24"/>
          <w:szCs w:val="24"/>
          <w:u w:val="single"/>
        </w:rPr>
        <w:t xml:space="preserve">  </w:t>
      </w:r>
      <w:r>
        <w:rPr>
          <w:rFonts w:hint="eastAsia" w:ascii="宋体" w:hAnsi="宋体"/>
          <w:color w:val="auto"/>
          <w:kern w:val="0"/>
          <w:sz w:val="24"/>
          <w:szCs w:val="24"/>
          <w:u w:val="single"/>
        </w:rPr>
        <w:t xml:space="preserve">           </w:t>
      </w:r>
      <w:r>
        <w:rPr>
          <w:rFonts w:hint="eastAsia" w:ascii="宋体" w:hAnsi="宋体"/>
          <w:color w:val="auto"/>
          <w:sz w:val="24"/>
          <w:szCs w:val="24"/>
          <w:u w:val="single"/>
        </w:rPr>
        <w:t xml:space="preserve">  </w:t>
      </w:r>
      <w:r>
        <w:rPr>
          <w:rFonts w:hint="eastAsia" w:ascii="宋体" w:hAnsi="宋体"/>
          <w:color w:val="auto"/>
          <w:sz w:val="24"/>
          <w:szCs w:val="24"/>
        </w:rPr>
        <w:t xml:space="preserve">      标项：</w:t>
      </w:r>
      <w:r>
        <w:rPr>
          <w:rFonts w:hint="eastAsia" w:ascii="宋体" w:hAnsi="宋体"/>
          <w:color w:val="auto"/>
          <w:sz w:val="24"/>
          <w:szCs w:val="24"/>
          <w:u w:val="single"/>
        </w:rPr>
        <w:t xml:space="preserve">    一     </w:t>
      </w:r>
      <w:r>
        <w:rPr>
          <w:rFonts w:hint="eastAsia" w:ascii="宋体" w:hAnsi="宋体"/>
          <w:color w:val="auto"/>
          <w:sz w:val="24"/>
          <w:szCs w:val="24"/>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877" w:type="dxa"/>
            <w:vAlign w:val="center"/>
          </w:tcPr>
          <w:p>
            <w:pPr>
              <w:spacing w:line="360" w:lineRule="auto"/>
              <w:rPr>
                <w:rFonts w:ascii="宋体" w:hAnsi="宋体"/>
                <w:color w:val="auto"/>
                <w:sz w:val="24"/>
                <w:szCs w:val="24"/>
              </w:rPr>
            </w:pPr>
            <w:r>
              <w:rPr>
                <w:rFonts w:hint="eastAsia" w:ascii="宋体" w:hAnsi="宋体"/>
                <w:color w:val="auto"/>
                <w:sz w:val="24"/>
                <w:szCs w:val="24"/>
              </w:rPr>
              <w:t>序号</w:t>
            </w:r>
          </w:p>
        </w:tc>
        <w:tc>
          <w:tcPr>
            <w:tcW w:w="1785"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内 容</w:t>
            </w:r>
          </w:p>
        </w:tc>
        <w:tc>
          <w:tcPr>
            <w:tcW w:w="1785" w:type="dxa"/>
            <w:vAlign w:val="center"/>
          </w:tcPr>
          <w:p>
            <w:pPr>
              <w:spacing w:line="360" w:lineRule="auto"/>
              <w:ind w:firstLine="240" w:firstLineChars="100"/>
              <w:rPr>
                <w:rFonts w:ascii="宋体" w:hAnsi="宋体"/>
                <w:color w:val="auto"/>
                <w:sz w:val="24"/>
                <w:szCs w:val="24"/>
              </w:rPr>
            </w:pPr>
            <w:r>
              <w:rPr>
                <w:rFonts w:hint="eastAsia" w:ascii="宋体" w:hAnsi="宋体"/>
                <w:color w:val="auto"/>
                <w:sz w:val="24"/>
                <w:szCs w:val="24"/>
              </w:rPr>
              <w:t>谈判要求</w:t>
            </w:r>
          </w:p>
        </w:tc>
        <w:tc>
          <w:tcPr>
            <w:tcW w:w="1365" w:type="dxa"/>
            <w:vAlign w:val="center"/>
          </w:tcPr>
          <w:p>
            <w:pPr>
              <w:spacing w:line="360" w:lineRule="auto"/>
              <w:rPr>
                <w:rFonts w:ascii="宋体" w:hAnsi="宋体"/>
                <w:color w:val="auto"/>
                <w:sz w:val="24"/>
                <w:szCs w:val="24"/>
              </w:rPr>
            </w:pPr>
            <w:r>
              <w:rPr>
                <w:rFonts w:hint="eastAsia" w:ascii="宋体" w:hAnsi="宋体"/>
                <w:color w:val="auto"/>
                <w:sz w:val="24"/>
                <w:szCs w:val="24"/>
              </w:rPr>
              <w:t>谈判响应</w:t>
            </w:r>
          </w:p>
        </w:tc>
        <w:tc>
          <w:tcPr>
            <w:tcW w:w="2625" w:type="dxa"/>
            <w:vAlign w:val="center"/>
          </w:tcPr>
          <w:p>
            <w:pPr>
              <w:spacing w:line="360" w:lineRule="auto"/>
              <w:ind w:firstLine="840" w:firstLineChars="350"/>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77" w:type="dxa"/>
            <w:vAlign w:val="center"/>
          </w:tcPr>
          <w:p>
            <w:pPr>
              <w:spacing w:line="360" w:lineRule="auto"/>
              <w:ind w:firstLine="480" w:firstLineChars="200"/>
              <w:rPr>
                <w:rFonts w:ascii="宋体" w:hAnsi="宋体"/>
                <w:color w:val="auto"/>
                <w:sz w:val="24"/>
                <w:szCs w:val="24"/>
              </w:rPr>
            </w:pPr>
          </w:p>
        </w:tc>
        <w:tc>
          <w:tcPr>
            <w:tcW w:w="1785" w:type="dxa"/>
          </w:tcPr>
          <w:p>
            <w:pPr>
              <w:spacing w:line="360" w:lineRule="auto"/>
              <w:ind w:firstLine="480" w:firstLineChars="200"/>
              <w:rPr>
                <w:rFonts w:ascii="宋体" w:hAnsi="宋体"/>
                <w:color w:val="auto"/>
                <w:sz w:val="24"/>
                <w:szCs w:val="24"/>
              </w:rPr>
            </w:pPr>
          </w:p>
        </w:tc>
        <w:tc>
          <w:tcPr>
            <w:tcW w:w="1785" w:type="dxa"/>
            <w:vAlign w:val="center"/>
          </w:tcPr>
          <w:p>
            <w:pPr>
              <w:spacing w:line="360" w:lineRule="auto"/>
              <w:ind w:firstLine="480" w:firstLineChars="200"/>
              <w:rPr>
                <w:rFonts w:ascii="宋体" w:hAnsi="宋体"/>
                <w:color w:val="auto"/>
                <w:sz w:val="24"/>
                <w:szCs w:val="24"/>
              </w:rPr>
            </w:pPr>
          </w:p>
        </w:tc>
        <w:tc>
          <w:tcPr>
            <w:tcW w:w="1365" w:type="dxa"/>
            <w:vAlign w:val="center"/>
          </w:tcPr>
          <w:p>
            <w:pPr>
              <w:spacing w:line="360" w:lineRule="auto"/>
              <w:ind w:firstLine="480" w:firstLineChars="200"/>
              <w:rPr>
                <w:rFonts w:ascii="宋体" w:hAnsi="宋体"/>
                <w:color w:val="auto"/>
                <w:sz w:val="24"/>
                <w:szCs w:val="24"/>
              </w:rPr>
            </w:pPr>
          </w:p>
        </w:tc>
        <w:tc>
          <w:tcPr>
            <w:tcW w:w="2625" w:type="dxa"/>
            <w:vAlign w:val="center"/>
          </w:tcPr>
          <w:p>
            <w:pPr>
              <w:spacing w:line="360" w:lineRule="auto"/>
              <w:ind w:firstLine="480" w:firstLineChars="20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77" w:type="dxa"/>
            <w:vAlign w:val="center"/>
          </w:tcPr>
          <w:p>
            <w:pPr>
              <w:spacing w:line="360" w:lineRule="auto"/>
              <w:ind w:firstLine="480" w:firstLineChars="200"/>
              <w:rPr>
                <w:rFonts w:ascii="宋体" w:hAnsi="宋体"/>
                <w:color w:val="auto"/>
                <w:sz w:val="24"/>
                <w:szCs w:val="24"/>
              </w:rPr>
            </w:pPr>
          </w:p>
        </w:tc>
        <w:tc>
          <w:tcPr>
            <w:tcW w:w="1785" w:type="dxa"/>
          </w:tcPr>
          <w:p>
            <w:pPr>
              <w:spacing w:line="360" w:lineRule="auto"/>
              <w:ind w:firstLine="480" w:firstLineChars="200"/>
              <w:rPr>
                <w:rFonts w:ascii="宋体" w:hAnsi="宋体"/>
                <w:color w:val="auto"/>
                <w:sz w:val="24"/>
                <w:szCs w:val="24"/>
              </w:rPr>
            </w:pPr>
          </w:p>
        </w:tc>
        <w:tc>
          <w:tcPr>
            <w:tcW w:w="1785" w:type="dxa"/>
            <w:vAlign w:val="center"/>
          </w:tcPr>
          <w:p>
            <w:pPr>
              <w:spacing w:line="360" w:lineRule="auto"/>
              <w:ind w:firstLine="480" w:firstLineChars="200"/>
              <w:rPr>
                <w:rFonts w:ascii="宋体" w:hAnsi="宋体"/>
                <w:color w:val="auto"/>
                <w:sz w:val="24"/>
                <w:szCs w:val="24"/>
              </w:rPr>
            </w:pPr>
          </w:p>
        </w:tc>
        <w:tc>
          <w:tcPr>
            <w:tcW w:w="1365" w:type="dxa"/>
            <w:vAlign w:val="center"/>
          </w:tcPr>
          <w:p>
            <w:pPr>
              <w:spacing w:line="360" w:lineRule="auto"/>
              <w:ind w:firstLine="480" w:firstLineChars="200"/>
              <w:rPr>
                <w:rFonts w:ascii="宋体" w:hAnsi="宋体"/>
                <w:color w:val="auto"/>
                <w:sz w:val="24"/>
                <w:szCs w:val="24"/>
              </w:rPr>
            </w:pPr>
          </w:p>
        </w:tc>
        <w:tc>
          <w:tcPr>
            <w:tcW w:w="2625" w:type="dxa"/>
            <w:vAlign w:val="center"/>
          </w:tcPr>
          <w:p>
            <w:pPr>
              <w:spacing w:line="360" w:lineRule="auto"/>
              <w:ind w:firstLine="480" w:firstLineChars="20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77" w:type="dxa"/>
            <w:vAlign w:val="center"/>
          </w:tcPr>
          <w:p>
            <w:pPr>
              <w:spacing w:line="360" w:lineRule="auto"/>
              <w:ind w:firstLine="480" w:firstLineChars="200"/>
              <w:rPr>
                <w:rFonts w:ascii="宋体" w:hAnsi="宋体"/>
                <w:color w:val="auto"/>
                <w:sz w:val="24"/>
                <w:szCs w:val="24"/>
              </w:rPr>
            </w:pPr>
          </w:p>
        </w:tc>
        <w:tc>
          <w:tcPr>
            <w:tcW w:w="1785" w:type="dxa"/>
          </w:tcPr>
          <w:p>
            <w:pPr>
              <w:spacing w:line="360" w:lineRule="auto"/>
              <w:ind w:firstLine="480" w:firstLineChars="200"/>
              <w:rPr>
                <w:rFonts w:ascii="宋体" w:hAnsi="宋体"/>
                <w:color w:val="auto"/>
                <w:sz w:val="24"/>
                <w:szCs w:val="24"/>
              </w:rPr>
            </w:pPr>
          </w:p>
        </w:tc>
        <w:tc>
          <w:tcPr>
            <w:tcW w:w="1785" w:type="dxa"/>
            <w:vAlign w:val="center"/>
          </w:tcPr>
          <w:p>
            <w:pPr>
              <w:spacing w:line="360" w:lineRule="auto"/>
              <w:ind w:firstLine="480" w:firstLineChars="200"/>
              <w:rPr>
                <w:rFonts w:ascii="宋体" w:hAnsi="宋体"/>
                <w:color w:val="auto"/>
                <w:sz w:val="24"/>
                <w:szCs w:val="24"/>
              </w:rPr>
            </w:pPr>
          </w:p>
        </w:tc>
        <w:tc>
          <w:tcPr>
            <w:tcW w:w="1365" w:type="dxa"/>
            <w:vAlign w:val="center"/>
          </w:tcPr>
          <w:p>
            <w:pPr>
              <w:spacing w:line="360" w:lineRule="auto"/>
              <w:ind w:firstLine="480" w:firstLineChars="200"/>
              <w:rPr>
                <w:rFonts w:ascii="宋体" w:hAnsi="宋体"/>
                <w:color w:val="auto"/>
                <w:sz w:val="24"/>
                <w:szCs w:val="24"/>
              </w:rPr>
            </w:pPr>
          </w:p>
        </w:tc>
        <w:tc>
          <w:tcPr>
            <w:tcW w:w="2625" w:type="dxa"/>
            <w:vAlign w:val="center"/>
          </w:tcPr>
          <w:p>
            <w:pPr>
              <w:spacing w:line="360" w:lineRule="auto"/>
              <w:ind w:firstLine="480" w:firstLineChars="20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77" w:type="dxa"/>
            <w:vAlign w:val="center"/>
          </w:tcPr>
          <w:p>
            <w:pPr>
              <w:spacing w:line="360" w:lineRule="auto"/>
              <w:ind w:firstLine="480" w:firstLineChars="200"/>
              <w:rPr>
                <w:rFonts w:ascii="宋体" w:hAnsi="宋体"/>
                <w:color w:val="auto"/>
                <w:sz w:val="24"/>
                <w:szCs w:val="24"/>
              </w:rPr>
            </w:pPr>
          </w:p>
        </w:tc>
        <w:tc>
          <w:tcPr>
            <w:tcW w:w="1785" w:type="dxa"/>
          </w:tcPr>
          <w:p>
            <w:pPr>
              <w:spacing w:line="360" w:lineRule="auto"/>
              <w:ind w:firstLine="480" w:firstLineChars="200"/>
              <w:rPr>
                <w:rFonts w:ascii="宋体" w:hAnsi="宋体"/>
                <w:color w:val="auto"/>
                <w:sz w:val="24"/>
                <w:szCs w:val="24"/>
              </w:rPr>
            </w:pPr>
          </w:p>
        </w:tc>
        <w:tc>
          <w:tcPr>
            <w:tcW w:w="1785" w:type="dxa"/>
            <w:vAlign w:val="center"/>
          </w:tcPr>
          <w:p>
            <w:pPr>
              <w:spacing w:line="360" w:lineRule="auto"/>
              <w:ind w:firstLine="480" w:firstLineChars="200"/>
              <w:rPr>
                <w:rFonts w:ascii="宋体" w:hAnsi="宋体"/>
                <w:color w:val="auto"/>
                <w:sz w:val="24"/>
                <w:szCs w:val="24"/>
              </w:rPr>
            </w:pPr>
          </w:p>
        </w:tc>
        <w:tc>
          <w:tcPr>
            <w:tcW w:w="1365" w:type="dxa"/>
            <w:vAlign w:val="center"/>
          </w:tcPr>
          <w:p>
            <w:pPr>
              <w:spacing w:line="360" w:lineRule="auto"/>
              <w:ind w:firstLine="480" w:firstLineChars="200"/>
              <w:rPr>
                <w:rFonts w:ascii="宋体" w:hAnsi="宋体"/>
                <w:color w:val="auto"/>
                <w:sz w:val="24"/>
                <w:szCs w:val="24"/>
              </w:rPr>
            </w:pPr>
          </w:p>
        </w:tc>
        <w:tc>
          <w:tcPr>
            <w:tcW w:w="2625" w:type="dxa"/>
            <w:vAlign w:val="center"/>
          </w:tcPr>
          <w:p>
            <w:pPr>
              <w:spacing w:line="360" w:lineRule="auto"/>
              <w:ind w:firstLine="480" w:firstLineChars="20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77" w:type="dxa"/>
            <w:vAlign w:val="center"/>
          </w:tcPr>
          <w:p>
            <w:pPr>
              <w:spacing w:line="360" w:lineRule="auto"/>
              <w:ind w:firstLine="480" w:firstLineChars="200"/>
              <w:rPr>
                <w:rFonts w:ascii="宋体" w:hAnsi="宋体"/>
                <w:color w:val="auto"/>
                <w:sz w:val="24"/>
                <w:szCs w:val="24"/>
              </w:rPr>
            </w:pPr>
          </w:p>
        </w:tc>
        <w:tc>
          <w:tcPr>
            <w:tcW w:w="1785" w:type="dxa"/>
          </w:tcPr>
          <w:p>
            <w:pPr>
              <w:spacing w:line="360" w:lineRule="auto"/>
              <w:ind w:firstLine="480" w:firstLineChars="200"/>
              <w:rPr>
                <w:rFonts w:ascii="宋体" w:hAnsi="宋体"/>
                <w:color w:val="auto"/>
                <w:sz w:val="24"/>
                <w:szCs w:val="24"/>
              </w:rPr>
            </w:pPr>
          </w:p>
        </w:tc>
        <w:tc>
          <w:tcPr>
            <w:tcW w:w="1785" w:type="dxa"/>
            <w:vAlign w:val="center"/>
          </w:tcPr>
          <w:p>
            <w:pPr>
              <w:spacing w:line="360" w:lineRule="auto"/>
              <w:ind w:firstLine="480" w:firstLineChars="200"/>
              <w:rPr>
                <w:rFonts w:ascii="宋体" w:hAnsi="宋体"/>
                <w:color w:val="auto"/>
                <w:sz w:val="24"/>
                <w:szCs w:val="24"/>
              </w:rPr>
            </w:pPr>
          </w:p>
        </w:tc>
        <w:tc>
          <w:tcPr>
            <w:tcW w:w="1365" w:type="dxa"/>
            <w:vAlign w:val="center"/>
          </w:tcPr>
          <w:p>
            <w:pPr>
              <w:spacing w:line="360" w:lineRule="auto"/>
              <w:ind w:firstLine="480" w:firstLineChars="200"/>
              <w:rPr>
                <w:rFonts w:ascii="宋体" w:hAnsi="宋体"/>
                <w:color w:val="auto"/>
                <w:sz w:val="24"/>
                <w:szCs w:val="24"/>
              </w:rPr>
            </w:pPr>
          </w:p>
        </w:tc>
        <w:tc>
          <w:tcPr>
            <w:tcW w:w="2625" w:type="dxa"/>
            <w:vAlign w:val="center"/>
          </w:tcPr>
          <w:p>
            <w:pPr>
              <w:spacing w:line="360" w:lineRule="auto"/>
              <w:ind w:firstLine="480" w:firstLineChars="20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77" w:type="dxa"/>
            <w:vAlign w:val="center"/>
          </w:tcPr>
          <w:p>
            <w:pPr>
              <w:spacing w:line="360" w:lineRule="auto"/>
              <w:ind w:firstLine="480" w:firstLineChars="200"/>
              <w:rPr>
                <w:rFonts w:ascii="宋体" w:hAnsi="宋体"/>
                <w:color w:val="auto"/>
                <w:sz w:val="24"/>
                <w:szCs w:val="24"/>
              </w:rPr>
            </w:pPr>
          </w:p>
        </w:tc>
        <w:tc>
          <w:tcPr>
            <w:tcW w:w="1785" w:type="dxa"/>
            <w:vAlign w:val="center"/>
          </w:tcPr>
          <w:p>
            <w:pPr>
              <w:spacing w:line="360" w:lineRule="auto"/>
              <w:ind w:firstLine="480" w:firstLineChars="200"/>
              <w:rPr>
                <w:rFonts w:ascii="宋体" w:hAnsi="宋体"/>
                <w:color w:val="auto"/>
                <w:sz w:val="24"/>
                <w:szCs w:val="24"/>
              </w:rPr>
            </w:pPr>
          </w:p>
        </w:tc>
        <w:tc>
          <w:tcPr>
            <w:tcW w:w="1785" w:type="dxa"/>
            <w:vAlign w:val="center"/>
          </w:tcPr>
          <w:p>
            <w:pPr>
              <w:spacing w:line="360" w:lineRule="auto"/>
              <w:ind w:firstLine="480" w:firstLineChars="200"/>
              <w:rPr>
                <w:rFonts w:ascii="宋体" w:hAnsi="宋体"/>
                <w:color w:val="auto"/>
                <w:sz w:val="24"/>
                <w:szCs w:val="24"/>
              </w:rPr>
            </w:pPr>
          </w:p>
        </w:tc>
        <w:tc>
          <w:tcPr>
            <w:tcW w:w="1365" w:type="dxa"/>
            <w:vAlign w:val="center"/>
          </w:tcPr>
          <w:p>
            <w:pPr>
              <w:spacing w:line="360" w:lineRule="auto"/>
              <w:ind w:firstLine="480" w:firstLineChars="200"/>
              <w:rPr>
                <w:rFonts w:ascii="宋体" w:hAnsi="宋体"/>
                <w:color w:val="auto"/>
                <w:sz w:val="24"/>
                <w:szCs w:val="24"/>
              </w:rPr>
            </w:pPr>
          </w:p>
        </w:tc>
        <w:tc>
          <w:tcPr>
            <w:tcW w:w="2625" w:type="dxa"/>
            <w:vAlign w:val="center"/>
          </w:tcPr>
          <w:p>
            <w:pPr>
              <w:spacing w:line="360" w:lineRule="auto"/>
              <w:ind w:firstLine="480" w:firstLineChars="20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77" w:type="dxa"/>
            <w:vAlign w:val="center"/>
          </w:tcPr>
          <w:p>
            <w:pPr>
              <w:spacing w:line="360" w:lineRule="auto"/>
              <w:ind w:firstLine="480" w:firstLineChars="200"/>
              <w:rPr>
                <w:rFonts w:ascii="宋体" w:hAnsi="宋体"/>
                <w:color w:val="auto"/>
                <w:sz w:val="24"/>
                <w:szCs w:val="24"/>
              </w:rPr>
            </w:pPr>
          </w:p>
        </w:tc>
        <w:tc>
          <w:tcPr>
            <w:tcW w:w="1785" w:type="dxa"/>
            <w:vAlign w:val="center"/>
          </w:tcPr>
          <w:p>
            <w:pPr>
              <w:spacing w:line="360" w:lineRule="auto"/>
              <w:ind w:firstLine="480" w:firstLineChars="200"/>
              <w:rPr>
                <w:rFonts w:ascii="宋体" w:hAnsi="宋体"/>
                <w:color w:val="auto"/>
                <w:sz w:val="24"/>
                <w:szCs w:val="24"/>
              </w:rPr>
            </w:pPr>
          </w:p>
        </w:tc>
        <w:tc>
          <w:tcPr>
            <w:tcW w:w="1785" w:type="dxa"/>
            <w:vAlign w:val="center"/>
          </w:tcPr>
          <w:p>
            <w:pPr>
              <w:spacing w:line="360" w:lineRule="auto"/>
              <w:ind w:firstLine="480" w:firstLineChars="200"/>
              <w:rPr>
                <w:rFonts w:ascii="宋体" w:hAnsi="宋体"/>
                <w:color w:val="auto"/>
                <w:sz w:val="24"/>
                <w:szCs w:val="24"/>
              </w:rPr>
            </w:pPr>
          </w:p>
        </w:tc>
        <w:tc>
          <w:tcPr>
            <w:tcW w:w="1365" w:type="dxa"/>
            <w:vAlign w:val="center"/>
          </w:tcPr>
          <w:p>
            <w:pPr>
              <w:spacing w:line="360" w:lineRule="auto"/>
              <w:ind w:firstLine="480" w:firstLineChars="200"/>
              <w:rPr>
                <w:rFonts w:ascii="宋体" w:hAnsi="宋体"/>
                <w:color w:val="auto"/>
                <w:sz w:val="24"/>
                <w:szCs w:val="24"/>
              </w:rPr>
            </w:pPr>
          </w:p>
        </w:tc>
        <w:tc>
          <w:tcPr>
            <w:tcW w:w="2625" w:type="dxa"/>
            <w:vAlign w:val="center"/>
          </w:tcPr>
          <w:p>
            <w:pPr>
              <w:spacing w:line="360" w:lineRule="auto"/>
              <w:ind w:firstLine="480" w:firstLineChars="200"/>
              <w:rPr>
                <w:rFonts w:ascii="宋体" w:hAnsi="宋体"/>
                <w:color w:val="auto"/>
                <w:sz w:val="24"/>
                <w:szCs w:val="24"/>
              </w:rPr>
            </w:pPr>
          </w:p>
        </w:tc>
      </w:tr>
    </w:tbl>
    <w:p>
      <w:pPr>
        <w:spacing w:line="360" w:lineRule="auto"/>
        <w:ind w:firstLine="480" w:firstLineChars="200"/>
        <w:rPr>
          <w:rFonts w:ascii="宋体" w:hAnsi="宋体"/>
          <w:color w:val="auto"/>
          <w:sz w:val="24"/>
          <w:szCs w:val="24"/>
        </w:rPr>
      </w:pPr>
    </w:p>
    <w:p>
      <w:pPr>
        <w:spacing w:line="480" w:lineRule="auto"/>
        <w:ind w:firstLine="480" w:firstLineChars="200"/>
        <w:rPr>
          <w:rFonts w:ascii="宋体" w:hAnsi="宋体"/>
          <w:color w:val="auto"/>
          <w:sz w:val="24"/>
          <w:szCs w:val="24"/>
        </w:rPr>
      </w:pPr>
      <w:r>
        <w:rPr>
          <w:rFonts w:hint="eastAsia" w:ascii="宋体" w:hAnsi="宋体"/>
          <w:color w:val="auto"/>
          <w:sz w:val="24"/>
          <w:szCs w:val="24"/>
        </w:rPr>
        <w:t>谈判响应方全称（盖章）：</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法定代表人（或全权代表）（签字）：</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p>
    <w:p>
      <w:pPr>
        <w:spacing w:line="480" w:lineRule="auto"/>
        <w:ind w:firstLine="3480" w:firstLineChars="1450"/>
        <w:rPr>
          <w:rFonts w:ascii="宋体" w:hAnsi="宋体"/>
          <w:color w:val="auto"/>
          <w:sz w:val="24"/>
          <w:szCs w:val="24"/>
        </w:rPr>
      </w:pPr>
      <w:r>
        <w:rPr>
          <w:rFonts w:hint="eastAsia" w:ascii="宋体" w:hAnsi="宋体"/>
          <w:color w:val="auto"/>
          <w:sz w:val="24"/>
          <w:szCs w:val="24"/>
        </w:rPr>
        <w:t>日 期：        年       月        日</w:t>
      </w:r>
    </w:p>
    <w:p>
      <w:pPr>
        <w:spacing w:line="480" w:lineRule="auto"/>
        <w:ind w:firstLine="480" w:firstLineChars="200"/>
        <w:rPr>
          <w:rFonts w:ascii="宋体" w:hAnsi="宋体"/>
          <w:color w:val="auto"/>
          <w:sz w:val="24"/>
          <w:szCs w:val="24"/>
        </w:rPr>
      </w:pPr>
    </w:p>
    <w:p>
      <w:pPr>
        <w:spacing w:line="480" w:lineRule="auto"/>
        <w:ind w:firstLine="480" w:firstLineChars="200"/>
        <w:rPr>
          <w:rFonts w:ascii="宋体" w:hAnsi="宋体"/>
          <w:color w:val="auto"/>
          <w:sz w:val="24"/>
          <w:szCs w:val="24"/>
        </w:rPr>
      </w:pPr>
      <w:r>
        <w:rPr>
          <w:rFonts w:hint="eastAsia" w:ascii="宋体" w:hAnsi="宋体"/>
          <w:color w:val="auto"/>
          <w:sz w:val="24"/>
          <w:szCs w:val="24"/>
        </w:rPr>
        <w:t>说明：本表参照谈判文件第二章“采购需求”内第三条“商务需求”填制，谈判供应商应在此表上对每项作出承诺或说明。</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如谈判响应有偏离情况，须在备注栏内注明正偏离或负偏离，并注解。</w:t>
      </w:r>
    </w:p>
    <w:p>
      <w:pPr>
        <w:spacing w:line="360" w:lineRule="auto"/>
        <w:ind w:firstLine="480" w:firstLineChars="200"/>
        <w:rPr>
          <w:rFonts w:ascii="宋体" w:hAnsi="宋体"/>
          <w:color w:val="auto"/>
          <w:sz w:val="24"/>
          <w:szCs w:val="24"/>
        </w:rPr>
      </w:pPr>
    </w:p>
    <w:p>
      <w:pPr>
        <w:spacing w:line="360" w:lineRule="auto"/>
        <w:rPr>
          <w:rFonts w:ascii="宋体" w:hAnsi="宋体"/>
          <w:color w:val="auto"/>
          <w:sz w:val="28"/>
          <w:szCs w:val="28"/>
        </w:rPr>
      </w:pPr>
    </w:p>
    <w:p>
      <w:pPr>
        <w:spacing w:line="360" w:lineRule="auto"/>
        <w:rPr>
          <w:rFonts w:ascii="宋体" w:hAnsi="宋体"/>
          <w:color w:val="auto"/>
          <w:sz w:val="28"/>
          <w:szCs w:val="28"/>
        </w:rPr>
      </w:pPr>
    </w:p>
    <w:p>
      <w:pPr>
        <w:spacing w:line="360" w:lineRule="auto"/>
        <w:ind w:firstLine="420" w:firstLineChars="150"/>
        <w:rPr>
          <w:rFonts w:ascii="宋体" w:hAnsi="宋体"/>
          <w:color w:val="auto"/>
          <w:sz w:val="28"/>
          <w:szCs w:val="28"/>
        </w:rPr>
      </w:pPr>
      <w:r>
        <w:rPr>
          <w:rFonts w:hint="eastAsia" w:ascii="宋体" w:hAnsi="宋体"/>
          <w:color w:val="auto"/>
          <w:sz w:val="28"/>
          <w:szCs w:val="28"/>
        </w:rPr>
        <w:t>附件六</w:t>
      </w:r>
    </w:p>
    <w:p>
      <w:pPr>
        <w:spacing w:line="360" w:lineRule="auto"/>
        <w:ind w:firstLine="480" w:firstLineChars="200"/>
        <w:jc w:val="center"/>
        <w:rPr>
          <w:rFonts w:ascii="宋体" w:hAnsi="宋体"/>
          <w:b/>
          <w:color w:val="auto"/>
          <w:sz w:val="24"/>
          <w:szCs w:val="24"/>
        </w:rPr>
      </w:pPr>
      <w:r>
        <w:rPr>
          <w:rFonts w:hint="eastAsia" w:ascii="宋体" w:hAnsi="宋体"/>
          <w:b/>
          <w:color w:val="auto"/>
          <w:sz w:val="24"/>
          <w:szCs w:val="24"/>
        </w:rPr>
        <w:t>技 术 参 数 对 照 表</w:t>
      </w:r>
    </w:p>
    <w:p>
      <w:pPr>
        <w:spacing w:line="360" w:lineRule="auto"/>
        <w:rPr>
          <w:rFonts w:ascii="宋体" w:hAnsi="宋体"/>
          <w:color w:val="auto"/>
          <w:sz w:val="24"/>
          <w:szCs w:val="24"/>
        </w:rPr>
      </w:pPr>
      <w:r>
        <w:rPr>
          <w:rFonts w:hint="eastAsia" w:ascii="宋体" w:hAnsi="宋体"/>
          <w:color w:val="auto"/>
          <w:sz w:val="24"/>
          <w:szCs w:val="24"/>
        </w:rPr>
        <w:t>竞争性谈判编号：</w:t>
      </w:r>
      <w:r>
        <w:rPr>
          <w:rFonts w:hint="eastAsia" w:ascii="宋体" w:hAnsi="宋体"/>
          <w:color w:val="auto"/>
          <w:kern w:val="0"/>
          <w:sz w:val="24"/>
          <w:szCs w:val="24"/>
          <w:u w:val="single"/>
        </w:rPr>
        <w:t xml:space="preserve">               </w:t>
      </w:r>
      <w:r>
        <w:rPr>
          <w:rFonts w:hint="eastAsia" w:ascii="宋体" w:hAnsi="宋体"/>
          <w:color w:val="auto"/>
          <w:sz w:val="24"/>
          <w:szCs w:val="24"/>
        </w:rPr>
        <w:t xml:space="preserve">               标项：</w:t>
      </w:r>
      <w:r>
        <w:rPr>
          <w:rFonts w:hint="eastAsia" w:ascii="宋体" w:hAnsi="宋体"/>
          <w:color w:val="auto"/>
          <w:sz w:val="24"/>
          <w:szCs w:val="24"/>
          <w:u w:val="single"/>
        </w:rPr>
        <w:t xml:space="preserve">    一     </w:t>
      </w:r>
      <w:r>
        <w:rPr>
          <w:rFonts w:hint="eastAsia" w:ascii="宋体" w:hAnsi="宋体"/>
          <w:color w:val="auto"/>
          <w:sz w:val="24"/>
          <w:szCs w:val="24"/>
        </w:rPr>
        <w:t xml:space="preserve">  </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620"/>
        <w:gridCol w:w="1800"/>
        <w:gridCol w:w="1525"/>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1620"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谈判规格</w:t>
            </w:r>
          </w:p>
        </w:tc>
        <w:tc>
          <w:tcPr>
            <w:tcW w:w="1800" w:type="dxa"/>
            <w:vAlign w:val="center"/>
          </w:tcPr>
          <w:p>
            <w:pPr>
              <w:spacing w:line="360" w:lineRule="auto"/>
              <w:ind w:firstLine="240" w:firstLineChars="100"/>
              <w:rPr>
                <w:rFonts w:ascii="宋体" w:hAnsi="宋体"/>
                <w:color w:val="auto"/>
                <w:sz w:val="24"/>
                <w:szCs w:val="24"/>
              </w:rPr>
            </w:pPr>
            <w:r>
              <w:rPr>
                <w:rFonts w:hint="eastAsia" w:ascii="宋体" w:hAnsi="宋体"/>
                <w:color w:val="auto"/>
                <w:sz w:val="24"/>
                <w:szCs w:val="24"/>
              </w:rPr>
              <w:t>响应规格</w:t>
            </w:r>
          </w:p>
        </w:tc>
        <w:tc>
          <w:tcPr>
            <w:tcW w:w="1525" w:type="dxa"/>
            <w:vAlign w:val="center"/>
          </w:tcPr>
          <w:p>
            <w:pPr>
              <w:spacing w:line="360" w:lineRule="auto"/>
              <w:ind w:firstLine="480" w:firstLineChars="200"/>
              <w:rPr>
                <w:rFonts w:ascii="宋体" w:hAnsi="宋体"/>
                <w:color w:val="auto"/>
                <w:sz w:val="24"/>
                <w:szCs w:val="24"/>
              </w:rPr>
            </w:pPr>
            <w:r>
              <w:rPr>
                <w:rFonts w:hint="eastAsia" w:ascii="宋体" w:hAnsi="宋体"/>
                <w:color w:val="auto"/>
                <w:sz w:val="24"/>
                <w:szCs w:val="24"/>
              </w:rPr>
              <w:t>偏离</w:t>
            </w:r>
          </w:p>
        </w:tc>
        <w:tc>
          <w:tcPr>
            <w:tcW w:w="3155" w:type="dxa"/>
            <w:vAlign w:val="center"/>
          </w:tcPr>
          <w:p>
            <w:pPr>
              <w:spacing w:line="360" w:lineRule="auto"/>
              <w:ind w:firstLine="1320" w:firstLineChars="550"/>
              <w:rPr>
                <w:rFonts w:ascii="宋体" w:hAnsi="宋体"/>
                <w:color w:val="auto"/>
                <w:sz w:val="24"/>
                <w:szCs w:val="24"/>
              </w:rPr>
            </w:pPr>
            <w:r>
              <w:rPr>
                <w:rFonts w:hint="eastAsia" w:ascii="宋体" w:hAnsi="宋体"/>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spacing w:line="360" w:lineRule="auto"/>
              <w:ind w:firstLine="480" w:firstLineChars="200"/>
              <w:jc w:val="center"/>
              <w:rPr>
                <w:rFonts w:ascii="宋体" w:hAnsi="宋体"/>
                <w:color w:val="auto"/>
                <w:sz w:val="24"/>
                <w:szCs w:val="24"/>
              </w:rPr>
            </w:pPr>
          </w:p>
        </w:tc>
        <w:tc>
          <w:tcPr>
            <w:tcW w:w="1620" w:type="dxa"/>
            <w:vAlign w:val="center"/>
          </w:tcPr>
          <w:p>
            <w:pPr>
              <w:spacing w:line="360" w:lineRule="auto"/>
              <w:ind w:firstLine="480" w:firstLineChars="200"/>
              <w:jc w:val="center"/>
              <w:rPr>
                <w:rFonts w:ascii="宋体" w:hAnsi="宋体"/>
                <w:color w:val="auto"/>
                <w:sz w:val="24"/>
                <w:szCs w:val="24"/>
              </w:rPr>
            </w:pPr>
          </w:p>
        </w:tc>
        <w:tc>
          <w:tcPr>
            <w:tcW w:w="1800" w:type="dxa"/>
            <w:vAlign w:val="center"/>
          </w:tcPr>
          <w:p>
            <w:pPr>
              <w:spacing w:line="360" w:lineRule="auto"/>
              <w:ind w:firstLine="480" w:firstLineChars="200"/>
              <w:jc w:val="center"/>
              <w:rPr>
                <w:rFonts w:ascii="宋体" w:hAnsi="宋体"/>
                <w:color w:val="auto"/>
                <w:sz w:val="24"/>
                <w:szCs w:val="24"/>
              </w:rPr>
            </w:pPr>
          </w:p>
        </w:tc>
        <w:tc>
          <w:tcPr>
            <w:tcW w:w="1525" w:type="dxa"/>
            <w:vAlign w:val="center"/>
          </w:tcPr>
          <w:p>
            <w:pPr>
              <w:spacing w:line="360" w:lineRule="auto"/>
              <w:ind w:firstLine="480" w:firstLineChars="200"/>
              <w:jc w:val="center"/>
              <w:rPr>
                <w:rFonts w:ascii="宋体" w:hAnsi="宋体"/>
                <w:color w:val="auto"/>
                <w:sz w:val="24"/>
                <w:szCs w:val="24"/>
              </w:rPr>
            </w:pPr>
          </w:p>
        </w:tc>
        <w:tc>
          <w:tcPr>
            <w:tcW w:w="3155" w:type="dxa"/>
            <w:vAlign w:val="center"/>
          </w:tcPr>
          <w:p>
            <w:pPr>
              <w:spacing w:line="36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spacing w:line="360" w:lineRule="auto"/>
              <w:ind w:firstLine="480" w:firstLineChars="200"/>
              <w:jc w:val="center"/>
              <w:rPr>
                <w:rFonts w:ascii="宋体" w:hAnsi="宋体"/>
                <w:color w:val="auto"/>
                <w:sz w:val="24"/>
                <w:szCs w:val="24"/>
              </w:rPr>
            </w:pPr>
          </w:p>
        </w:tc>
        <w:tc>
          <w:tcPr>
            <w:tcW w:w="1620" w:type="dxa"/>
            <w:vAlign w:val="center"/>
          </w:tcPr>
          <w:p>
            <w:pPr>
              <w:spacing w:line="360" w:lineRule="auto"/>
              <w:ind w:firstLine="480" w:firstLineChars="200"/>
              <w:jc w:val="center"/>
              <w:rPr>
                <w:rFonts w:ascii="宋体" w:hAnsi="宋体"/>
                <w:color w:val="auto"/>
                <w:sz w:val="24"/>
                <w:szCs w:val="24"/>
              </w:rPr>
            </w:pPr>
          </w:p>
        </w:tc>
        <w:tc>
          <w:tcPr>
            <w:tcW w:w="1800" w:type="dxa"/>
            <w:vAlign w:val="center"/>
          </w:tcPr>
          <w:p>
            <w:pPr>
              <w:spacing w:line="360" w:lineRule="auto"/>
              <w:ind w:firstLine="480" w:firstLineChars="200"/>
              <w:jc w:val="center"/>
              <w:rPr>
                <w:rFonts w:ascii="宋体" w:hAnsi="宋体"/>
                <w:color w:val="auto"/>
                <w:sz w:val="24"/>
                <w:szCs w:val="24"/>
              </w:rPr>
            </w:pPr>
          </w:p>
        </w:tc>
        <w:tc>
          <w:tcPr>
            <w:tcW w:w="1525" w:type="dxa"/>
            <w:vAlign w:val="center"/>
          </w:tcPr>
          <w:p>
            <w:pPr>
              <w:spacing w:line="360" w:lineRule="auto"/>
              <w:ind w:firstLine="480" w:firstLineChars="200"/>
              <w:jc w:val="center"/>
              <w:rPr>
                <w:rFonts w:ascii="宋体" w:hAnsi="宋体"/>
                <w:color w:val="auto"/>
                <w:sz w:val="24"/>
                <w:szCs w:val="24"/>
              </w:rPr>
            </w:pPr>
          </w:p>
        </w:tc>
        <w:tc>
          <w:tcPr>
            <w:tcW w:w="3155" w:type="dxa"/>
            <w:vAlign w:val="center"/>
          </w:tcPr>
          <w:p>
            <w:pPr>
              <w:spacing w:line="36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88" w:type="dxa"/>
            <w:vAlign w:val="center"/>
          </w:tcPr>
          <w:p>
            <w:pPr>
              <w:spacing w:line="360" w:lineRule="auto"/>
              <w:ind w:firstLine="480" w:firstLineChars="200"/>
              <w:jc w:val="center"/>
              <w:rPr>
                <w:rFonts w:ascii="宋体" w:hAnsi="宋体"/>
                <w:color w:val="auto"/>
                <w:sz w:val="24"/>
                <w:szCs w:val="24"/>
              </w:rPr>
            </w:pPr>
          </w:p>
        </w:tc>
        <w:tc>
          <w:tcPr>
            <w:tcW w:w="1620" w:type="dxa"/>
            <w:vAlign w:val="center"/>
          </w:tcPr>
          <w:p>
            <w:pPr>
              <w:spacing w:line="360" w:lineRule="auto"/>
              <w:ind w:firstLine="480" w:firstLineChars="200"/>
              <w:jc w:val="center"/>
              <w:rPr>
                <w:rFonts w:ascii="宋体" w:hAnsi="宋体"/>
                <w:color w:val="auto"/>
                <w:sz w:val="24"/>
                <w:szCs w:val="24"/>
              </w:rPr>
            </w:pPr>
          </w:p>
        </w:tc>
        <w:tc>
          <w:tcPr>
            <w:tcW w:w="1800" w:type="dxa"/>
            <w:vAlign w:val="center"/>
          </w:tcPr>
          <w:p>
            <w:pPr>
              <w:spacing w:line="360" w:lineRule="auto"/>
              <w:ind w:firstLine="480" w:firstLineChars="200"/>
              <w:jc w:val="center"/>
              <w:rPr>
                <w:rFonts w:ascii="宋体" w:hAnsi="宋体"/>
                <w:color w:val="auto"/>
                <w:sz w:val="24"/>
                <w:szCs w:val="24"/>
              </w:rPr>
            </w:pPr>
          </w:p>
        </w:tc>
        <w:tc>
          <w:tcPr>
            <w:tcW w:w="1525" w:type="dxa"/>
            <w:vAlign w:val="center"/>
          </w:tcPr>
          <w:p>
            <w:pPr>
              <w:spacing w:line="360" w:lineRule="auto"/>
              <w:ind w:firstLine="480" w:firstLineChars="200"/>
              <w:jc w:val="center"/>
              <w:rPr>
                <w:rFonts w:ascii="宋体" w:hAnsi="宋体"/>
                <w:color w:val="auto"/>
                <w:sz w:val="24"/>
                <w:szCs w:val="24"/>
              </w:rPr>
            </w:pPr>
          </w:p>
        </w:tc>
        <w:tc>
          <w:tcPr>
            <w:tcW w:w="3155" w:type="dxa"/>
            <w:vAlign w:val="center"/>
          </w:tcPr>
          <w:p>
            <w:pPr>
              <w:spacing w:line="36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spacing w:line="360" w:lineRule="auto"/>
              <w:ind w:firstLine="480" w:firstLineChars="200"/>
              <w:jc w:val="center"/>
              <w:rPr>
                <w:rFonts w:ascii="宋体" w:hAnsi="宋体"/>
                <w:color w:val="auto"/>
                <w:sz w:val="24"/>
                <w:szCs w:val="24"/>
              </w:rPr>
            </w:pPr>
          </w:p>
        </w:tc>
        <w:tc>
          <w:tcPr>
            <w:tcW w:w="1620" w:type="dxa"/>
            <w:vAlign w:val="center"/>
          </w:tcPr>
          <w:p>
            <w:pPr>
              <w:spacing w:line="360" w:lineRule="auto"/>
              <w:ind w:firstLine="480" w:firstLineChars="200"/>
              <w:jc w:val="center"/>
              <w:rPr>
                <w:rFonts w:ascii="宋体" w:hAnsi="宋体"/>
                <w:color w:val="auto"/>
                <w:sz w:val="24"/>
                <w:szCs w:val="24"/>
              </w:rPr>
            </w:pPr>
          </w:p>
        </w:tc>
        <w:tc>
          <w:tcPr>
            <w:tcW w:w="1800" w:type="dxa"/>
            <w:vAlign w:val="center"/>
          </w:tcPr>
          <w:p>
            <w:pPr>
              <w:spacing w:line="360" w:lineRule="auto"/>
              <w:ind w:firstLine="480" w:firstLineChars="200"/>
              <w:jc w:val="center"/>
              <w:rPr>
                <w:rFonts w:ascii="宋体" w:hAnsi="宋体"/>
                <w:color w:val="auto"/>
                <w:sz w:val="24"/>
                <w:szCs w:val="24"/>
              </w:rPr>
            </w:pPr>
          </w:p>
        </w:tc>
        <w:tc>
          <w:tcPr>
            <w:tcW w:w="1525" w:type="dxa"/>
            <w:vAlign w:val="center"/>
          </w:tcPr>
          <w:p>
            <w:pPr>
              <w:spacing w:line="360" w:lineRule="auto"/>
              <w:ind w:firstLine="480" w:firstLineChars="200"/>
              <w:jc w:val="center"/>
              <w:rPr>
                <w:rFonts w:ascii="宋体" w:hAnsi="宋体"/>
                <w:color w:val="auto"/>
                <w:sz w:val="24"/>
                <w:szCs w:val="24"/>
              </w:rPr>
            </w:pPr>
          </w:p>
        </w:tc>
        <w:tc>
          <w:tcPr>
            <w:tcW w:w="3155" w:type="dxa"/>
            <w:vAlign w:val="center"/>
          </w:tcPr>
          <w:p>
            <w:pPr>
              <w:spacing w:line="36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spacing w:line="360" w:lineRule="auto"/>
              <w:ind w:firstLine="480" w:firstLineChars="200"/>
              <w:jc w:val="center"/>
              <w:rPr>
                <w:rFonts w:ascii="宋体" w:hAnsi="宋体"/>
                <w:color w:val="auto"/>
                <w:sz w:val="24"/>
                <w:szCs w:val="24"/>
              </w:rPr>
            </w:pPr>
          </w:p>
        </w:tc>
        <w:tc>
          <w:tcPr>
            <w:tcW w:w="1620" w:type="dxa"/>
            <w:vAlign w:val="center"/>
          </w:tcPr>
          <w:p>
            <w:pPr>
              <w:spacing w:line="360" w:lineRule="auto"/>
              <w:ind w:firstLine="480" w:firstLineChars="200"/>
              <w:jc w:val="center"/>
              <w:rPr>
                <w:rFonts w:ascii="宋体" w:hAnsi="宋体"/>
                <w:color w:val="auto"/>
                <w:sz w:val="24"/>
                <w:szCs w:val="24"/>
              </w:rPr>
            </w:pPr>
          </w:p>
        </w:tc>
        <w:tc>
          <w:tcPr>
            <w:tcW w:w="1800" w:type="dxa"/>
            <w:vAlign w:val="center"/>
          </w:tcPr>
          <w:p>
            <w:pPr>
              <w:spacing w:line="360" w:lineRule="auto"/>
              <w:ind w:firstLine="480" w:firstLineChars="200"/>
              <w:jc w:val="center"/>
              <w:rPr>
                <w:rFonts w:ascii="宋体" w:hAnsi="宋体"/>
                <w:color w:val="auto"/>
                <w:sz w:val="24"/>
                <w:szCs w:val="24"/>
              </w:rPr>
            </w:pPr>
          </w:p>
        </w:tc>
        <w:tc>
          <w:tcPr>
            <w:tcW w:w="1525" w:type="dxa"/>
            <w:vAlign w:val="center"/>
          </w:tcPr>
          <w:p>
            <w:pPr>
              <w:spacing w:line="360" w:lineRule="auto"/>
              <w:ind w:firstLine="480" w:firstLineChars="200"/>
              <w:jc w:val="center"/>
              <w:rPr>
                <w:rFonts w:ascii="宋体" w:hAnsi="宋体"/>
                <w:color w:val="auto"/>
                <w:sz w:val="24"/>
                <w:szCs w:val="24"/>
              </w:rPr>
            </w:pPr>
          </w:p>
        </w:tc>
        <w:tc>
          <w:tcPr>
            <w:tcW w:w="3155" w:type="dxa"/>
            <w:vAlign w:val="center"/>
          </w:tcPr>
          <w:p>
            <w:pPr>
              <w:spacing w:line="36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spacing w:line="360" w:lineRule="auto"/>
              <w:ind w:firstLine="480" w:firstLineChars="200"/>
              <w:jc w:val="center"/>
              <w:rPr>
                <w:rFonts w:ascii="宋体" w:hAnsi="宋体"/>
                <w:color w:val="auto"/>
                <w:sz w:val="24"/>
                <w:szCs w:val="24"/>
              </w:rPr>
            </w:pPr>
          </w:p>
        </w:tc>
        <w:tc>
          <w:tcPr>
            <w:tcW w:w="1620" w:type="dxa"/>
            <w:vAlign w:val="center"/>
          </w:tcPr>
          <w:p>
            <w:pPr>
              <w:spacing w:line="360" w:lineRule="auto"/>
              <w:ind w:firstLine="480" w:firstLineChars="200"/>
              <w:jc w:val="center"/>
              <w:rPr>
                <w:rFonts w:ascii="宋体" w:hAnsi="宋体"/>
                <w:color w:val="auto"/>
                <w:sz w:val="24"/>
                <w:szCs w:val="24"/>
              </w:rPr>
            </w:pPr>
          </w:p>
        </w:tc>
        <w:tc>
          <w:tcPr>
            <w:tcW w:w="1800" w:type="dxa"/>
            <w:vAlign w:val="center"/>
          </w:tcPr>
          <w:p>
            <w:pPr>
              <w:spacing w:line="360" w:lineRule="auto"/>
              <w:ind w:firstLine="480" w:firstLineChars="200"/>
              <w:jc w:val="center"/>
              <w:rPr>
                <w:rFonts w:ascii="宋体" w:hAnsi="宋体"/>
                <w:color w:val="auto"/>
                <w:sz w:val="24"/>
                <w:szCs w:val="24"/>
              </w:rPr>
            </w:pPr>
          </w:p>
        </w:tc>
        <w:tc>
          <w:tcPr>
            <w:tcW w:w="1525" w:type="dxa"/>
            <w:vAlign w:val="center"/>
          </w:tcPr>
          <w:p>
            <w:pPr>
              <w:spacing w:line="360" w:lineRule="auto"/>
              <w:ind w:firstLine="480" w:firstLineChars="200"/>
              <w:jc w:val="center"/>
              <w:rPr>
                <w:rFonts w:ascii="宋体" w:hAnsi="宋体"/>
                <w:color w:val="auto"/>
                <w:sz w:val="24"/>
                <w:szCs w:val="24"/>
              </w:rPr>
            </w:pPr>
          </w:p>
        </w:tc>
        <w:tc>
          <w:tcPr>
            <w:tcW w:w="3155" w:type="dxa"/>
            <w:vAlign w:val="center"/>
          </w:tcPr>
          <w:p>
            <w:pPr>
              <w:spacing w:line="36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88" w:type="dxa"/>
            <w:vAlign w:val="center"/>
          </w:tcPr>
          <w:p>
            <w:pPr>
              <w:spacing w:line="360" w:lineRule="auto"/>
              <w:ind w:firstLine="480" w:firstLineChars="200"/>
              <w:jc w:val="center"/>
              <w:rPr>
                <w:rFonts w:ascii="宋体" w:hAnsi="宋体"/>
                <w:color w:val="auto"/>
                <w:sz w:val="24"/>
                <w:szCs w:val="24"/>
              </w:rPr>
            </w:pPr>
          </w:p>
        </w:tc>
        <w:tc>
          <w:tcPr>
            <w:tcW w:w="1620" w:type="dxa"/>
            <w:vAlign w:val="center"/>
          </w:tcPr>
          <w:p>
            <w:pPr>
              <w:spacing w:line="360" w:lineRule="auto"/>
              <w:ind w:firstLine="480" w:firstLineChars="200"/>
              <w:jc w:val="center"/>
              <w:rPr>
                <w:rFonts w:ascii="宋体" w:hAnsi="宋体"/>
                <w:color w:val="auto"/>
                <w:sz w:val="24"/>
                <w:szCs w:val="24"/>
              </w:rPr>
            </w:pPr>
          </w:p>
        </w:tc>
        <w:tc>
          <w:tcPr>
            <w:tcW w:w="1800" w:type="dxa"/>
            <w:vAlign w:val="center"/>
          </w:tcPr>
          <w:p>
            <w:pPr>
              <w:spacing w:line="360" w:lineRule="auto"/>
              <w:ind w:firstLine="480" w:firstLineChars="200"/>
              <w:jc w:val="center"/>
              <w:rPr>
                <w:rFonts w:ascii="宋体" w:hAnsi="宋体"/>
                <w:color w:val="auto"/>
                <w:sz w:val="24"/>
                <w:szCs w:val="24"/>
              </w:rPr>
            </w:pPr>
          </w:p>
        </w:tc>
        <w:tc>
          <w:tcPr>
            <w:tcW w:w="1525" w:type="dxa"/>
            <w:vAlign w:val="center"/>
          </w:tcPr>
          <w:p>
            <w:pPr>
              <w:spacing w:line="360" w:lineRule="auto"/>
              <w:ind w:firstLine="480" w:firstLineChars="200"/>
              <w:jc w:val="center"/>
              <w:rPr>
                <w:rFonts w:ascii="宋体" w:hAnsi="宋体"/>
                <w:color w:val="auto"/>
                <w:sz w:val="24"/>
                <w:szCs w:val="24"/>
              </w:rPr>
            </w:pPr>
          </w:p>
        </w:tc>
        <w:tc>
          <w:tcPr>
            <w:tcW w:w="3155" w:type="dxa"/>
            <w:vAlign w:val="center"/>
          </w:tcPr>
          <w:p>
            <w:pPr>
              <w:spacing w:line="36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spacing w:line="360" w:lineRule="auto"/>
              <w:ind w:firstLine="480" w:firstLineChars="200"/>
              <w:jc w:val="center"/>
              <w:rPr>
                <w:rFonts w:ascii="宋体" w:hAnsi="宋体"/>
                <w:color w:val="auto"/>
                <w:sz w:val="24"/>
                <w:szCs w:val="24"/>
              </w:rPr>
            </w:pPr>
          </w:p>
        </w:tc>
        <w:tc>
          <w:tcPr>
            <w:tcW w:w="1620" w:type="dxa"/>
            <w:vAlign w:val="center"/>
          </w:tcPr>
          <w:p>
            <w:pPr>
              <w:spacing w:line="360" w:lineRule="auto"/>
              <w:ind w:firstLine="480" w:firstLineChars="200"/>
              <w:jc w:val="center"/>
              <w:rPr>
                <w:rFonts w:ascii="宋体" w:hAnsi="宋体"/>
                <w:color w:val="auto"/>
                <w:sz w:val="24"/>
                <w:szCs w:val="24"/>
              </w:rPr>
            </w:pPr>
          </w:p>
        </w:tc>
        <w:tc>
          <w:tcPr>
            <w:tcW w:w="1800" w:type="dxa"/>
            <w:vAlign w:val="center"/>
          </w:tcPr>
          <w:p>
            <w:pPr>
              <w:spacing w:line="360" w:lineRule="auto"/>
              <w:ind w:firstLine="480" w:firstLineChars="200"/>
              <w:jc w:val="center"/>
              <w:rPr>
                <w:rFonts w:ascii="宋体" w:hAnsi="宋体"/>
                <w:color w:val="auto"/>
                <w:sz w:val="24"/>
                <w:szCs w:val="24"/>
              </w:rPr>
            </w:pPr>
          </w:p>
        </w:tc>
        <w:tc>
          <w:tcPr>
            <w:tcW w:w="1525" w:type="dxa"/>
            <w:vAlign w:val="center"/>
          </w:tcPr>
          <w:p>
            <w:pPr>
              <w:spacing w:line="360" w:lineRule="auto"/>
              <w:ind w:firstLine="480" w:firstLineChars="200"/>
              <w:jc w:val="center"/>
              <w:rPr>
                <w:rFonts w:ascii="宋体" w:hAnsi="宋体"/>
                <w:color w:val="auto"/>
                <w:sz w:val="24"/>
                <w:szCs w:val="24"/>
              </w:rPr>
            </w:pPr>
          </w:p>
        </w:tc>
        <w:tc>
          <w:tcPr>
            <w:tcW w:w="3155" w:type="dxa"/>
            <w:vAlign w:val="center"/>
          </w:tcPr>
          <w:p>
            <w:pPr>
              <w:spacing w:line="360" w:lineRule="auto"/>
              <w:ind w:firstLine="480" w:firstLineChars="200"/>
              <w:jc w:val="center"/>
              <w:rPr>
                <w:rFonts w:ascii="宋体" w:hAnsi="宋体"/>
                <w:color w:val="auto"/>
                <w:sz w:val="24"/>
                <w:szCs w:val="24"/>
              </w:rPr>
            </w:pPr>
          </w:p>
        </w:tc>
      </w:tr>
    </w:tbl>
    <w:p>
      <w:pPr>
        <w:spacing w:line="480" w:lineRule="auto"/>
        <w:ind w:firstLine="480" w:firstLineChars="200"/>
        <w:rPr>
          <w:rFonts w:ascii="宋体" w:hAnsi="宋体"/>
          <w:color w:val="auto"/>
          <w:sz w:val="24"/>
          <w:szCs w:val="24"/>
        </w:rPr>
      </w:pPr>
      <w:r>
        <w:rPr>
          <w:rFonts w:hint="eastAsia" w:ascii="宋体" w:hAnsi="宋体"/>
          <w:color w:val="auto"/>
          <w:sz w:val="24"/>
          <w:szCs w:val="24"/>
        </w:rPr>
        <w:t>注：1、必须与相应标项的所有技术规格相比较填列。</w:t>
      </w:r>
    </w:p>
    <w:p>
      <w:pPr>
        <w:spacing w:line="360" w:lineRule="auto"/>
        <w:ind w:firstLine="480" w:firstLineChars="200"/>
        <w:rPr>
          <w:rFonts w:ascii="宋体" w:hAnsi="宋体"/>
          <w:color w:val="auto"/>
          <w:sz w:val="24"/>
          <w:szCs w:val="24"/>
        </w:rPr>
      </w:pPr>
    </w:p>
    <w:p>
      <w:pPr>
        <w:spacing w:line="480" w:lineRule="auto"/>
        <w:ind w:firstLine="480" w:firstLineChars="200"/>
        <w:rPr>
          <w:rFonts w:ascii="宋体" w:hAnsi="宋体"/>
          <w:color w:val="auto"/>
          <w:sz w:val="24"/>
          <w:szCs w:val="24"/>
        </w:rPr>
      </w:pPr>
      <w:r>
        <w:rPr>
          <w:rFonts w:hint="eastAsia" w:ascii="宋体" w:hAnsi="宋体"/>
          <w:color w:val="auto"/>
          <w:sz w:val="24"/>
          <w:szCs w:val="24"/>
        </w:rPr>
        <w:t>谈判响应方全称（盖章）：</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法定代表人（或全权代表）（签字）：</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p>
    <w:p>
      <w:pPr>
        <w:spacing w:line="480" w:lineRule="auto"/>
        <w:ind w:firstLine="3480" w:firstLineChars="1450"/>
        <w:rPr>
          <w:rFonts w:ascii="宋体" w:hAnsi="宋体"/>
          <w:color w:val="auto"/>
          <w:sz w:val="24"/>
          <w:szCs w:val="24"/>
        </w:rPr>
      </w:pPr>
      <w:r>
        <w:rPr>
          <w:rFonts w:hint="eastAsia" w:ascii="宋体" w:hAnsi="宋体"/>
          <w:color w:val="auto"/>
          <w:sz w:val="24"/>
          <w:szCs w:val="24"/>
        </w:rPr>
        <w:t>日 期：        年       月        日</w:t>
      </w:r>
    </w:p>
    <w:p>
      <w:pPr>
        <w:spacing w:line="480" w:lineRule="auto"/>
        <w:ind w:firstLine="480" w:firstLineChars="200"/>
        <w:rPr>
          <w:rFonts w:ascii="宋体" w:hAnsi="宋体"/>
          <w:color w:val="auto"/>
          <w:sz w:val="24"/>
          <w:szCs w:val="24"/>
        </w:rPr>
      </w:pPr>
      <w:r>
        <w:rPr>
          <w:rFonts w:hint="eastAsia" w:ascii="宋体" w:hAnsi="宋体"/>
          <w:color w:val="auto"/>
          <w:sz w:val="24"/>
          <w:szCs w:val="24"/>
        </w:rPr>
        <w:t>说明：本表参照谈判文件第二章“采购需求”内第二条“技术需求”填制，谈判供应商应在此表上对每项作出说明。</w:t>
      </w:r>
    </w:p>
    <w:p>
      <w:pPr>
        <w:spacing w:line="480" w:lineRule="auto"/>
        <w:ind w:firstLine="480" w:firstLineChars="200"/>
        <w:rPr>
          <w:rFonts w:ascii="宋体" w:hAnsi="宋体"/>
          <w:color w:val="auto"/>
          <w:sz w:val="24"/>
          <w:szCs w:val="24"/>
        </w:rPr>
      </w:pPr>
    </w:p>
    <w:p>
      <w:pPr>
        <w:spacing w:line="480" w:lineRule="auto"/>
        <w:ind w:firstLine="480" w:firstLineChars="200"/>
        <w:rPr>
          <w:rFonts w:ascii="宋体" w:hAnsi="宋体"/>
          <w:color w:val="auto"/>
          <w:sz w:val="24"/>
          <w:szCs w:val="24"/>
        </w:rPr>
      </w:pPr>
    </w:p>
    <w:p>
      <w:pPr>
        <w:spacing w:line="360" w:lineRule="auto"/>
        <w:ind w:firstLine="420" w:firstLineChars="150"/>
        <w:rPr>
          <w:rFonts w:ascii="宋体" w:hAnsi="宋体"/>
          <w:color w:val="auto"/>
          <w:sz w:val="28"/>
          <w:szCs w:val="28"/>
        </w:rPr>
      </w:pPr>
      <w:r>
        <w:rPr>
          <w:rFonts w:hint="eastAsia" w:ascii="宋体" w:hAnsi="宋体"/>
          <w:color w:val="auto"/>
          <w:sz w:val="28"/>
          <w:szCs w:val="28"/>
        </w:rPr>
        <w:t>附件七</w:t>
      </w:r>
    </w:p>
    <w:p>
      <w:pPr>
        <w:spacing w:line="360" w:lineRule="auto"/>
        <w:ind w:firstLine="480" w:firstLineChars="200"/>
        <w:jc w:val="center"/>
        <w:rPr>
          <w:rFonts w:ascii="宋体" w:hAnsi="宋体"/>
          <w:b/>
          <w:color w:val="auto"/>
          <w:sz w:val="24"/>
          <w:szCs w:val="24"/>
        </w:rPr>
      </w:pPr>
      <w:r>
        <w:rPr>
          <w:rFonts w:hint="eastAsia" w:ascii="宋体" w:hAnsi="宋体"/>
          <w:b/>
          <w:color w:val="auto"/>
          <w:sz w:val="24"/>
          <w:szCs w:val="24"/>
        </w:rPr>
        <w:t>项 目 实 施 人 员 一 览 表</w:t>
      </w:r>
    </w:p>
    <w:p>
      <w:pPr>
        <w:spacing w:line="360" w:lineRule="auto"/>
        <w:ind w:firstLine="480" w:firstLineChars="200"/>
        <w:jc w:val="center"/>
        <w:rPr>
          <w:rFonts w:ascii="宋体" w:hAnsi="宋体"/>
          <w:color w:val="auto"/>
          <w:sz w:val="24"/>
          <w:szCs w:val="24"/>
        </w:rPr>
      </w:pPr>
      <w:r>
        <w:rPr>
          <w:rFonts w:hint="eastAsia" w:ascii="宋体" w:hAnsi="宋体"/>
          <w:color w:val="auto"/>
          <w:sz w:val="24"/>
          <w:szCs w:val="24"/>
        </w:rPr>
        <w:t>主要从业人员及其技术资格</w:t>
      </w:r>
    </w:p>
    <w:p>
      <w:pPr>
        <w:spacing w:line="480" w:lineRule="auto"/>
        <w:ind w:firstLine="480" w:firstLineChars="200"/>
        <w:rPr>
          <w:rFonts w:ascii="宋体" w:hAnsi="宋体"/>
          <w:color w:val="auto"/>
          <w:sz w:val="24"/>
          <w:szCs w:val="24"/>
        </w:rPr>
      </w:pPr>
      <w:r>
        <w:rPr>
          <w:rFonts w:hint="eastAsia" w:ascii="宋体" w:hAnsi="宋体"/>
          <w:color w:val="auto"/>
          <w:sz w:val="24"/>
          <w:szCs w:val="24"/>
        </w:rPr>
        <w:t>竞争性谈判编号：</w:t>
      </w:r>
      <w:r>
        <w:rPr>
          <w:rFonts w:hint="eastAsia" w:ascii="宋体" w:hAnsi="宋体"/>
          <w:color w:val="auto"/>
          <w:sz w:val="24"/>
          <w:szCs w:val="24"/>
          <w:u w:val="single"/>
        </w:rPr>
        <w:t xml:space="preserve">  </w:t>
      </w:r>
      <w:r>
        <w:rPr>
          <w:rFonts w:hint="eastAsia" w:ascii="宋体" w:hAnsi="宋体"/>
          <w:color w:val="auto"/>
          <w:kern w:val="0"/>
          <w:sz w:val="24"/>
          <w:szCs w:val="24"/>
          <w:u w:val="single"/>
        </w:rPr>
        <w:t xml:space="preserve">              </w:t>
      </w:r>
      <w:r>
        <w:rPr>
          <w:rFonts w:hint="eastAsia" w:ascii="宋体" w:hAnsi="宋体"/>
          <w:color w:val="auto"/>
          <w:kern w:val="0"/>
          <w:sz w:val="24"/>
          <w:szCs w:val="24"/>
        </w:rPr>
        <w:t xml:space="preserve">           </w:t>
      </w:r>
      <w:r>
        <w:rPr>
          <w:rFonts w:hint="eastAsia" w:ascii="宋体" w:hAnsi="宋体"/>
          <w:color w:val="auto"/>
          <w:sz w:val="24"/>
          <w:szCs w:val="24"/>
        </w:rPr>
        <w:t>标项：</w:t>
      </w:r>
      <w:r>
        <w:rPr>
          <w:rFonts w:hint="eastAsia" w:ascii="宋体" w:hAnsi="宋体"/>
          <w:color w:val="auto"/>
          <w:sz w:val="24"/>
          <w:szCs w:val="24"/>
          <w:u w:val="single"/>
        </w:rPr>
        <w:t xml:space="preserve">     一     </w:t>
      </w:r>
      <w:r>
        <w:rPr>
          <w:rFonts w:hint="eastAsia" w:ascii="宋体" w:hAnsi="宋体"/>
          <w:color w:val="auto"/>
          <w:sz w:val="24"/>
          <w:szCs w:val="24"/>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参加本单位</w:t>
            </w:r>
          </w:p>
          <w:p>
            <w:pPr>
              <w:jc w:val="center"/>
              <w:rPr>
                <w:rFonts w:ascii="宋体" w:hAnsi="宋体"/>
                <w:color w:val="auto"/>
                <w:sz w:val="24"/>
                <w:szCs w:val="24"/>
              </w:rPr>
            </w:pPr>
            <w:r>
              <w:rPr>
                <w:rFonts w:hint="eastAsia" w:ascii="宋体" w:hAnsi="宋体"/>
                <w:color w:val="auto"/>
                <w:sz w:val="24"/>
                <w:szCs w:val="24"/>
              </w:rPr>
              <w:t>工作时间</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olor w:val="auto"/>
                <w:sz w:val="24"/>
                <w:szCs w:val="24"/>
              </w:rPr>
            </w:pPr>
          </w:p>
        </w:tc>
      </w:tr>
    </w:tbl>
    <w:p>
      <w:pPr>
        <w:spacing w:line="480" w:lineRule="auto"/>
        <w:ind w:firstLine="480" w:firstLineChars="200"/>
        <w:rPr>
          <w:rFonts w:ascii="宋体" w:hAnsi="宋体"/>
          <w:color w:val="auto"/>
          <w:sz w:val="24"/>
          <w:szCs w:val="24"/>
        </w:rPr>
      </w:pPr>
      <w:r>
        <w:rPr>
          <w:rFonts w:hint="eastAsia" w:ascii="宋体" w:hAnsi="宋体"/>
          <w:color w:val="auto"/>
          <w:sz w:val="24"/>
          <w:szCs w:val="24"/>
        </w:rPr>
        <w:t xml:space="preserve">注：在填写时，如本表格不适合投标单位的实际情况，可根据本表格式自行划表填写。 </w:t>
      </w:r>
    </w:p>
    <w:p>
      <w:pPr>
        <w:spacing w:line="480" w:lineRule="auto"/>
        <w:ind w:firstLine="480" w:firstLineChars="200"/>
        <w:rPr>
          <w:rFonts w:ascii="宋体" w:hAnsi="宋体"/>
          <w:color w:val="auto"/>
          <w:sz w:val="24"/>
          <w:szCs w:val="24"/>
        </w:rPr>
      </w:pPr>
      <w:r>
        <w:rPr>
          <w:rFonts w:hint="eastAsia" w:ascii="宋体" w:hAnsi="宋体"/>
          <w:color w:val="auto"/>
          <w:sz w:val="24"/>
          <w:szCs w:val="24"/>
        </w:rPr>
        <w:t>谈判响应方全称（盖章）：</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p>
    <w:p>
      <w:pPr>
        <w:spacing w:line="480" w:lineRule="auto"/>
        <w:ind w:firstLine="480" w:firstLineChars="200"/>
        <w:rPr>
          <w:rFonts w:ascii="宋体" w:hAnsi="宋体"/>
          <w:color w:val="auto"/>
          <w:sz w:val="24"/>
          <w:szCs w:val="24"/>
          <w:u w:val="single"/>
        </w:rPr>
      </w:pPr>
      <w:r>
        <w:rPr>
          <w:rFonts w:hint="eastAsia" w:ascii="宋体" w:hAnsi="宋体"/>
          <w:color w:val="auto"/>
          <w:sz w:val="24"/>
          <w:szCs w:val="24"/>
        </w:rPr>
        <w:t>法定代表人（或全权代表）（签字）：</w:t>
      </w:r>
      <w:r>
        <w:rPr>
          <w:rFonts w:hint="eastAsia"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p>
    <w:p>
      <w:pPr>
        <w:spacing w:line="480" w:lineRule="auto"/>
        <w:ind w:firstLine="3480" w:firstLineChars="1450"/>
        <w:rPr>
          <w:rFonts w:ascii="宋体" w:hAnsi="宋体"/>
          <w:color w:val="auto"/>
          <w:sz w:val="24"/>
          <w:szCs w:val="24"/>
        </w:rPr>
      </w:pPr>
      <w:r>
        <w:rPr>
          <w:rFonts w:hint="eastAsia" w:ascii="宋体" w:hAnsi="宋体"/>
          <w:color w:val="auto"/>
          <w:sz w:val="24"/>
          <w:szCs w:val="24"/>
        </w:rPr>
        <w:t>日 期：        年       月        日</w:t>
      </w:r>
    </w:p>
    <w:p>
      <w:pPr>
        <w:spacing w:line="360" w:lineRule="auto"/>
        <w:ind w:firstLine="420" w:firstLineChars="150"/>
        <w:rPr>
          <w:rFonts w:ascii="宋体" w:hAnsi="宋体"/>
          <w:color w:val="auto"/>
          <w:sz w:val="28"/>
          <w:szCs w:val="28"/>
        </w:rPr>
      </w:pPr>
    </w:p>
    <w:p>
      <w:pPr>
        <w:spacing w:line="360" w:lineRule="auto"/>
        <w:ind w:firstLine="420" w:firstLineChars="150"/>
        <w:rPr>
          <w:rFonts w:ascii="宋体" w:hAnsi="宋体"/>
          <w:b/>
          <w:color w:val="auto"/>
          <w:sz w:val="32"/>
          <w:szCs w:val="32"/>
        </w:rPr>
      </w:pPr>
      <w:r>
        <w:rPr>
          <w:rFonts w:hint="eastAsia" w:ascii="宋体" w:hAnsi="宋体"/>
          <w:color w:val="auto"/>
          <w:sz w:val="28"/>
          <w:szCs w:val="28"/>
        </w:rPr>
        <w:t>附件八</w:t>
      </w:r>
    </w:p>
    <w:p>
      <w:pPr>
        <w:spacing w:line="360" w:lineRule="auto"/>
        <w:ind w:firstLine="640" w:firstLineChars="200"/>
        <w:jc w:val="center"/>
        <w:rPr>
          <w:rFonts w:ascii="宋体" w:hAnsi="宋体"/>
          <w:color w:val="auto"/>
          <w:sz w:val="32"/>
          <w:szCs w:val="32"/>
        </w:rPr>
      </w:pPr>
      <w:r>
        <w:rPr>
          <w:rFonts w:hint="eastAsia" w:ascii="宋体" w:hAnsi="宋体"/>
          <w:b/>
          <w:color w:val="auto"/>
          <w:sz w:val="32"/>
          <w:szCs w:val="32"/>
        </w:rPr>
        <w:t>谈判商务（技术）响应文件封面格式</w:t>
      </w:r>
      <w:r>
        <w:rPr>
          <w:rFonts w:hint="eastAsia" w:ascii="宋体" w:hAnsi="宋体"/>
          <w:color w:val="auto"/>
          <w:sz w:val="32"/>
          <w:szCs w:val="32"/>
        </w:rPr>
        <w:t>：</w:t>
      </w:r>
    </w:p>
    <w:tbl>
      <w:tblPr>
        <w:tblStyle w:val="5"/>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5" w:hRule="atLeast"/>
        </w:trPr>
        <w:tc>
          <w:tcPr>
            <w:tcW w:w="9270" w:type="dxa"/>
          </w:tcPr>
          <w:p>
            <w:pPr>
              <w:spacing w:line="360" w:lineRule="auto"/>
              <w:ind w:firstLine="640" w:firstLineChars="200"/>
              <w:rPr>
                <w:rFonts w:ascii="宋体" w:hAnsi="宋体"/>
                <w:color w:val="auto"/>
                <w:sz w:val="32"/>
                <w:szCs w:val="32"/>
              </w:rPr>
            </w:pPr>
            <w:r>
              <w:rPr>
                <w:rFonts w:hint="eastAsia" w:ascii="宋体" w:hAnsi="宋体"/>
                <w:color w:val="auto"/>
                <w:sz w:val="32"/>
                <w:szCs w:val="32"/>
              </w:rPr>
              <w:t xml:space="preserve">                                                   </w:t>
            </w:r>
          </w:p>
          <w:p>
            <w:pPr>
              <w:spacing w:line="360" w:lineRule="auto"/>
              <w:ind w:firstLine="640" w:firstLineChars="200"/>
              <w:rPr>
                <w:rFonts w:ascii="宋体" w:hAnsi="宋体"/>
                <w:color w:val="auto"/>
                <w:sz w:val="32"/>
                <w:szCs w:val="32"/>
              </w:rPr>
            </w:pPr>
            <w:r>
              <w:rPr>
                <w:rFonts w:hint="eastAsia" w:ascii="宋体" w:hAnsi="宋体"/>
                <w:color w:val="auto"/>
                <w:sz w:val="32"/>
                <w:szCs w:val="32"/>
              </w:rPr>
              <w:t xml:space="preserve"> </w:t>
            </w:r>
          </w:p>
          <w:p>
            <w:pPr>
              <w:spacing w:line="480" w:lineRule="auto"/>
              <w:ind w:firstLine="12" w:firstLineChars="4"/>
              <w:jc w:val="center"/>
              <w:rPr>
                <w:rFonts w:ascii="宋体" w:hAnsi="宋体"/>
                <w:b/>
                <w:color w:val="auto"/>
                <w:sz w:val="32"/>
                <w:szCs w:val="32"/>
              </w:rPr>
            </w:pPr>
            <w:r>
              <w:rPr>
                <w:rFonts w:hint="eastAsia" w:ascii="宋体" w:hAnsi="宋体"/>
                <w:b/>
                <w:color w:val="auto"/>
                <w:sz w:val="32"/>
                <w:szCs w:val="32"/>
              </w:rPr>
              <w:t>竞  争  性  谈  判  响  应  文  件</w:t>
            </w:r>
          </w:p>
          <w:p>
            <w:pPr>
              <w:spacing w:line="480" w:lineRule="auto"/>
              <w:ind w:firstLine="640" w:firstLineChars="200"/>
              <w:jc w:val="center"/>
              <w:rPr>
                <w:rFonts w:ascii="宋体" w:hAnsi="宋体"/>
                <w:b/>
                <w:color w:val="auto"/>
                <w:sz w:val="32"/>
                <w:szCs w:val="32"/>
              </w:rPr>
            </w:pPr>
          </w:p>
          <w:p>
            <w:pPr>
              <w:spacing w:line="480" w:lineRule="auto"/>
              <w:ind w:firstLine="640" w:firstLineChars="200"/>
              <w:jc w:val="center"/>
              <w:rPr>
                <w:rFonts w:ascii="宋体" w:hAnsi="宋体"/>
                <w:b/>
                <w:color w:val="auto"/>
                <w:sz w:val="32"/>
                <w:szCs w:val="32"/>
              </w:rPr>
            </w:pPr>
            <w:r>
              <w:rPr>
                <w:rFonts w:hint="eastAsia" w:ascii="宋体" w:hAnsi="宋体"/>
                <w:b/>
                <w:color w:val="auto"/>
                <w:sz w:val="32"/>
                <w:szCs w:val="32"/>
              </w:rPr>
              <w:t>商 务（技 术）</w:t>
            </w:r>
          </w:p>
          <w:p>
            <w:pPr>
              <w:spacing w:line="360" w:lineRule="auto"/>
              <w:ind w:right="420" w:firstLine="640" w:firstLineChars="200"/>
              <w:jc w:val="right"/>
              <w:rPr>
                <w:rFonts w:ascii="宋体" w:hAnsi="宋体"/>
                <w:b/>
                <w:color w:val="auto"/>
                <w:sz w:val="32"/>
                <w:szCs w:val="32"/>
              </w:rPr>
            </w:pPr>
            <w:r>
              <w:rPr>
                <w:rFonts w:hint="eastAsia" w:ascii="宋体" w:hAnsi="宋体"/>
                <w:b/>
                <w:color w:val="auto"/>
                <w:sz w:val="32"/>
                <w:szCs w:val="32"/>
              </w:rPr>
              <w:t>正本/或副本</w:t>
            </w:r>
          </w:p>
          <w:p>
            <w:pPr>
              <w:spacing w:line="360" w:lineRule="auto"/>
              <w:ind w:right="420" w:firstLine="640" w:firstLineChars="200"/>
              <w:jc w:val="right"/>
              <w:rPr>
                <w:rFonts w:ascii="宋体" w:hAnsi="宋体"/>
                <w:b/>
                <w:color w:val="auto"/>
                <w:sz w:val="32"/>
                <w:szCs w:val="32"/>
              </w:rPr>
            </w:pPr>
          </w:p>
          <w:p>
            <w:pPr>
              <w:spacing w:line="360" w:lineRule="auto"/>
              <w:ind w:firstLine="640" w:firstLineChars="200"/>
              <w:rPr>
                <w:rFonts w:ascii="宋体" w:hAnsi="宋体"/>
                <w:b/>
                <w:color w:val="auto"/>
                <w:sz w:val="32"/>
                <w:szCs w:val="32"/>
              </w:rPr>
            </w:pPr>
            <w:r>
              <w:rPr>
                <w:rFonts w:hint="eastAsia" w:ascii="宋体" w:hAnsi="宋体"/>
                <w:b/>
                <w:color w:val="auto"/>
                <w:sz w:val="32"/>
                <w:szCs w:val="32"/>
              </w:rPr>
              <w:t>项目编号：</w:t>
            </w:r>
          </w:p>
          <w:p>
            <w:pPr>
              <w:spacing w:line="360" w:lineRule="auto"/>
              <w:ind w:firstLine="640" w:firstLineChars="200"/>
              <w:rPr>
                <w:rFonts w:ascii="宋体" w:hAnsi="宋体"/>
                <w:b/>
                <w:color w:val="auto"/>
                <w:sz w:val="32"/>
                <w:szCs w:val="32"/>
              </w:rPr>
            </w:pPr>
          </w:p>
          <w:p>
            <w:pPr>
              <w:spacing w:line="360" w:lineRule="auto"/>
              <w:ind w:firstLine="640" w:firstLineChars="200"/>
              <w:rPr>
                <w:rFonts w:ascii="宋体" w:hAnsi="宋体"/>
                <w:b/>
                <w:color w:val="auto"/>
                <w:sz w:val="32"/>
                <w:szCs w:val="32"/>
              </w:rPr>
            </w:pPr>
            <w:r>
              <w:rPr>
                <w:rFonts w:hint="eastAsia" w:ascii="宋体" w:hAnsi="宋体"/>
                <w:b/>
                <w:color w:val="auto"/>
                <w:sz w:val="32"/>
                <w:szCs w:val="32"/>
              </w:rPr>
              <w:t>项目名称：</w:t>
            </w:r>
            <w:r>
              <w:rPr>
                <w:rFonts w:hint="eastAsia" w:ascii="宋体" w:hAnsi="宋体"/>
                <w:b/>
                <w:color w:val="auto"/>
                <w:kern w:val="0"/>
                <w:sz w:val="32"/>
                <w:szCs w:val="32"/>
              </w:rPr>
              <w:t>台州市行政中心3号楼智慧消防项目</w:t>
            </w:r>
          </w:p>
          <w:p>
            <w:pPr>
              <w:spacing w:line="360" w:lineRule="auto"/>
              <w:ind w:firstLine="640" w:firstLineChars="200"/>
              <w:rPr>
                <w:rFonts w:ascii="宋体" w:hAnsi="宋体"/>
                <w:b/>
                <w:color w:val="auto"/>
                <w:sz w:val="32"/>
                <w:szCs w:val="32"/>
              </w:rPr>
            </w:pPr>
            <w:r>
              <w:rPr>
                <w:rFonts w:hint="eastAsia" w:ascii="宋体" w:hAnsi="宋体"/>
                <w:b/>
                <w:color w:val="auto"/>
                <w:sz w:val="32"/>
                <w:szCs w:val="32"/>
              </w:rPr>
              <w:t>标 项：一</w:t>
            </w:r>
          </w:p>
          <w:p>
            <w:pPr>
              <w:spacing w:line="360" w:lineRule="auto"/>
              <w:ind w:firstLine="640" w:firstLineChars="200"/>
              <w:rPr>
                <w:rFonts w:ascii="宋体" w:hAnsi="宋体"/>
                <w:b/>
                <w:color w:val="auto"/>
                <w:sz w:val="32"/>
                <w:szCs w:val="32"/>
              </w:rPr>
            </w:pPr>
          </w:p>
          <w:p>
            <w:pPr>
              <w:spacing w:line="360" w:lineRule="auto"/>
              <w:ind w:firstLine="640" w:firstLineChars="200"/>
              <w:rPr>
                <w:rFonts w:ascii="宋体" w:hAnsi="宋体"/>
                <w:b/>
                <w:color w:val="auto"/>
                <w:sz w:val="32"/>
                <w:szCs w:val="32"/>
              </w:rPr>
            </w:pPr>
            <w:r>
              <w:rPr>
                <w:rFonts w:hint="eastAsia" w:ascii="宋体" w:hAnsi="宋体"/>
                <w:b/>
                <w:color w:val="auto"/>
                <w:sz w:val="32"/>
                <w:szCs w:val="32"/>
              </w:rPr>
              <w:t>谈判响应方全称（盖章）：</w:t>
            </w:r>
          </w:p>
          <w:p>
            <w:pPr>
              <w:spacing w:line="360" w:lineRule="auto"/>
              <w:ind w:firstLine="640" w:firstLineChars="200"/>
              <w:rPr>
                <w:rFonts w:ascii="宋体" w:hAnsi="宋体"/>
                <w:b/>
                <w:color w:val="auto"/>
                <w:sz w:val="32"/>
                <w:szCs w:val="32"/>
              </w:rPr>
            </w:pPr>
          </w:p>
          <w:p>
            <w:pPr>
              <w:spacing w:line="360" w:lineRule="auto"/>
              <w:ind w:firstLine="640" w:firstLineChars="200"/>
              <w:rPr>
                <w:rFonts w:ascii="宋体" w:hAnsi="宋体"/>
                <w:b/>
                <w:color w:val="auto"/>
                <w:sz w:val="32"/>
                <w:szCs w:val="32"/>
              </w:rPr>
            </w:pPr>
            <w:r>
              <w:rPr>
                <w:rFonts w:hint="eastAsia" w:ascii="宋体" w:hAnsi="宋体"/>
                <w:b/>
                <w:color w:val="auto"/>
                <w:sz w:val="32"/>
                <w:szCs w:val="32"/>
              </w:rPr>
              <w:t>地址：</w:t>
            </w:r>
          </w:p>
          <w:p>
            <w:pPr>
              <w:spacing w:line="360" w:lineRule="auto"/>
              <w:ind w:firstLine="640" w:firstLineChars="200"/>
              <w:rPr>
                <w:rFonts w:ascii="宋体" w:hAnsi="宋体"/>
                <w:b/>
                <w:color w:val="auto"/>
                <w:sz w:val="32"/>
                <w:szCs w:val="32"/>
              </w:rPr>
            </w:pPr>
            <w:r>
              <w:rPr>
                <w:rFonts w:hint="eastAsia" w:ascii="宋体" w:hAnsi="宋体"/>
                <w:b/>
                <w:color w:val="auto"/>
                <w:sz w:val="32"/>
                <w:szCs w:val="32"/>
              </w:rPr>
              <w:t xml:space="preserve"> </w:t>
            </w:r>
          </w:p>
          <w:p>
            <w:pPr>
              <w:spacing w:line="360" w:lineRule="auto"/>
              <w:ind w:firstLine="640" w:firstLineChars="200"/>
              <w:rPr>
                <w:rFonts w:ascii="宋体" w:hAnsi="宋体"/>
                <w:color w:val="auto"/>
                <w:sz w:val="32"/>
                <w:szCs w:val="32"/>
              </w:rPr>
            </w:pPr>
            <w:r>
              <w:rPr>
                <w:rFonts w:hint="eastAsia" w:ascii="宋体" w:hAnsi="宋体"/>
                <w:b/>
                <w:color w:val="auto"/>
                <w:sz w:val="32"/>
                <w:szCs w:val="32"/>
              </w:rPr>
              <w:t xml:space="preserve">                            年    月    日</w:t>
            </w:r>
          </w:p>
        </w:tc>
      </w:tr>
    </w:tbl>
    <w:p>
      <w:pPr>
        <w:rPr>
          <w:rFonts w:ascii="宋体" w:hAnsi="宋体"/>
          <w:color w:val="000000"/>
        </w:rPr>
      </w:pPr>
    </w:p>
    <w:p>
      <w:pPr>
        <w:rPr>
          <w:rFonts w:ascii="宋体" w:hAnsi="宋体"/>
          <w:color w:val="000000"/>
        </w:rPr>
      </w:pPr>
    </w:p>
    <w:p>
      <w:pPr>
        <w:ind w:left="2891" w:hanging="2891" w:hangingChars="800"/>
        <w:rPr>
          <w:rFonts w:ascii="Arial" w:hAnsi="Arial" w:eastAsia="宋体" w:cs="Times New Roman"/>
          <w:b/>
          <w:sz w:val="36"/>
          <w:szCs w:val="36"/>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auto"/>
    <w:pitch w:val="default"/>
    <w:sig w:usb0="00000000" w:usb1="00000000" w:usb2="00000016" w:usb3="00000000" w:csb0="0004001F" w:csb1="00000000"/>
  </w:font>
  <w:font w:name="URW Bookman">
    <w:panose1 w:val="000004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5E"/>
    <w:rsid w:val="0002540F"/>
    <w:rsid w:val="00053BE9"/>
    <w:rsid w:val="00064351"/>
    <w:rsid w:val="00096B93"/>
    <w:rsid w:val="001327D8"/>
    <w:rsid w:val="00166DCA"/>
    <w:rsid w:val="0017785F"/>
    <w:rsid w:val="001E22AB"/>
    <w:rsid w:val="001F257F"/>
    <w:rsid w:val="002002A0"/>
    <w:rsid w:val="00202B89"/>
    <w:rsid w:val="00204B28"/>
    <w:rsid w:val="002220E8"/>
    <w:rsid w:val="0023519C"/>
    <w:rsid w:val="0025000D"/>
    <w:rsid w:val="002C7B4A"/>
    <w:rsid w:val="003214BD"/>
    <w:rsid w:val="003535CC"/>
    <w:rsid w:val="0036244B"/>
    <w:rsid w:val="00377B43"/>
    <w:rsid w:val="0038158B"/>
    <w:rsid w:val="00382354"/>
    <w:rsid w:val="003934E3"/>
    <w:rsid w:val="0041104B"/>
    <w:rsid w:val="00444E9D"/>
    <w:rsid w:val="0046175E"/>
    <w:rsid w:val="00477B3E"/>
    <w:rsid w:val="004A544E"/>
    <w:rsid w:val="004B4146"/>
    <w:rsid w:val="004F1744"/>
    <w:rsid w:val="005224D3"/>
    <w:rsid w:val="005F4741"/>
    <w:rsid w:val="006378CD"/>
    <w:rsid w:val="00642362"/>
    <w:rsid w:val="00660C24"/>
    <w:rsid w:val="006A4F41"/>
    <w:rsid w:val="006D7B29"/>
    <w:rsid w:val="006E6661"/>
    <w:rsid w:val="00722288"/>
    <w:rsid w:val="007A2A86"/>
    <w:rsid w:val="007E29FE"/>
    <w:rsid w:val="007F7E40"/>
    <w:rsid w:val="00812986"/>
    <w:rsid w:val="008152D8"/>
    <w:rsid w:val="00847F94"/>
    <w:rsid w:val="008813A1"/>
    <w:rsid w:val="008C6CCD"/>
    <w:rsid w:val="008E656F"/>
    <w:rsid w:val="008E7014"/>
    <w:rsid w:val="00995BD1"/>
    <w:rsid w:val="00996280"/>
    <w:rsid w:val="009D05EA"/>
    <w:rsid w:val="009D19F3"/>
    <w:rsid w:val="00A0064F"/>
    <w:rsid w:val="00A078B3"/>
    <w:rsid w:val="00A730B4"/>
    <w:rsid w:val="00A96D96"/>
    <w:rsid w:val="00AD2208"/>
    <w:rsid w:val="00AE1947"/>
    <w:rsid w:val="00AE5C04"/>
    <w:rsid w:val="00B603F7"/>
    <w:rsid w:val="00BB2F4F"/>
    <w:rsid w:val="00C148F0"/>
    <w:rsid w:val="00C652F1"/>
    <w:rsid w:val="00C80F97"/>
    <w:rsid w:val="00C9532A"/>
    <w:rsid w:val="00CC528E"/>
    <w:rsid w:val="00D21E09"/>
    <w:rsid w:val="00DA106E"/>
    <w:rsid w:val="00DE6CDC"/>
    <w:rsid w:val="00DE7E04"/>
    <w:rsid w:val="00DF76EC"/>
    <w:rsid w:val="00E204D8"/>
    <w:rsid w:val="00E44BF9"/>
    <w:rsid w:val="00ED208E"/>
    <w:rsid w:val="00F216D3"/>
    <w:rsid w:val="00F55415"/>
    <w:rsid w:val="00F811F0"/>
    <w:rsid w:val="00FB4B08"/>
    <w:rsid w:val="034313DB"/>
    <w:rsid w:val="04185062"/>
    <w:rsid w:val="0A7E1627"/>
    <w:rsid w:val="107648FA"/>
    <w:rsid w:val="10DA6391"/>
    <w:rsid w:val="20676F81"/>
    <w:rsid w:val="21A31729"/>
    <w:rsid w:val="29451DFC"/>
    <w:rsid w:val="2E1674F1"/>
    <w:rsid w:val="30847B56"/>
    <w:rsid w:val="314B2F0C"/>
    <w:rsid w:val="366D2D39"/>
    <w:rsid w:val="369C38FF"/>
    <w:rsid w:val="47EB4D9F"/>
    <w:rsid w:val="5B4C7055"/>
    <w:rsid w:val="60FE1634"/>
    <w:rsid w:val="6DE3D60F"/>
    <w:rsid w:val="73B153CE"/>
    <w:rsid w:val="76DA169F"/>
    <w:rsid w:val="77FFB7C3"/>
    <w:rsid w:val="7F2F7838"/>
    <w:rsid w:val="7F3273B2"/>
    <w:rsid w:val="7FC21F01"/>
    <w:rsid w:val="7FE79A81"/>
    <w:rsid w:val="DFEDB952"/>
    <w:rsid w:val="DFFB2615"/>
    <w:rsid w:val="EEFDD237"/>
    <w:rsid w:val="FD9F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8"/>
    <w:qFormat/>
    <w:uiPriority w:val="0"/>
    <w:pPr>
      <w:spacing w:before="240" w:after="60"/>
      <w:jc w:val="center"/>
      <w:outlineLvl w:val="0"/>
    </w:pPr>
    <w:rPr>
      <w:rFonts w:ascii="Arial" w:hAnsi="Arial" w:eastAsia="宋体" w:cs="Times New Roman"/>
      <w:b/>
      <w:sz w:val="32"/>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标题 Char"/>
    <w:basedOn w:val="6"/>
    <w:link w:val="4"/>
    <w:qFormat/>
    <w:uiPriority w:val="0"/>
    <w:rPr>
      <w:rFonts w:ascii="Arial" w:hAnsi="Arial" w:eastAsia="宋体" w:cs="Times New Roman"/>
      <w:b/>
      <w:sz w:val="32"/>
    </w:rPr>
  </w:style>
  <w:style w:type="paragraph" w:customStyle="1" w:styleId="9">
    <w:name w:val="_Style 2"/>
    <w:qFormat/>
    <w:uiPriority w:val="99"/>
    <w:pPr>
      <w:adjustRightInd w:val="0"/>
      <w:snapToGrid w:val="0"/>
    </w:pPr>
    <w:rPr>
      <w:rFonts w:ascii="Tahoma" w:hAnsi="Tahoma" w:eastAsia="微软雅黑" w:cs="Tahoma"/>
      <w:sz w:val="22"/>
      <w:szCs w:val="22"/>
      <w:lang w:val="en-US" w:eastAsia="zh-CN" w:bidi="ar-SA"/>
    </w:r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1913</Words>
  <Characters>10905</Characters>
  <Lines>90</Lines>
  <Paragraphs>25</Paragraphs>
  <TotalTime>8</TotalTime>
  <ScaleCrop>false</ScaleCrop>
  <LinksUpToDate>false</LinksUpToDate>
  <CharactersWithSpaces>12793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2021-10-30T19:13:00Z</dcterms:created>
  <dc:creator>郑 先生</dc:creator>
  <cp:lastModifiedBy>user</cp:lastModifiedBy>
  <cp:lastPrinted>2021-11-19T17:17:00Z</cp:lastPrinted>
  <dcterms:modified xsi:type="dcterms:W3CDTF">2022-03-02T09:32:59Z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C5B5A8828E034D5BA3005AD92D6CBB26</vt:lpwstr>
  </property>
</Properties>
</file>